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anuncia los 10 finalistas de la cuarta edición de 'Tu Proyecto, Nuestro Proyecto'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entre un total de 84 propuestas, las diez finalistas han sido seleccionadas a partir del voto del público general | El jurado escogerá al ganador, que se conocerá el próximo febrero y que recibirá hasta 25.000 euros para ejecutar el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Honda Motor Europe España ha anunciado los 10 proyectos finalistas de su acción de Responsabilidad Social Corporativa Tu Proyecto, Nuestro Proyecto, tras un proceso de votación que finalizó el pasado 14 de diciembre. En la que ha sido la cuarta edición de la iniciativa, los clientes de automóviles Honda han enviado sus propuestas solidarias a favor de la infancia en ámbitos tan diversos como la salud y el bienestar, el medio ambiente, la formación, el desarrollo o la comunidad, por citar algunos ejemplos.
          <w:p>
            <w:pPr>
              <w:ind w:left="-284" w:right="-427"/>
              <w:jc w:val="both"/>
              <w:rPr>
                <w:rFonts/>
                <w:color w:val="262626" w:themeColor="text1" w:themeTint="D9"/>
              </w:rPr>
            </w:pPr>
            <w:r>
              <w:t>	Del total de 84 proyectos presentados que han sumado cerca de 56.439 votos y más de 173.300 visitas a la página web desarrollada específicamente para la ocasión– las 10 propuestas más votadas por el público general han sido las seleccionadas como finalistas. Ahora, un jurado formado por distintas personalidades del ámbito social, académico-científico y cultural será el encargado de elegir el proyecto ganador, que se dará a conocer en febrero de 2016 y recibirá una dotación económica de hasta 25.000 euros para ejecutarlo.</w:t>
            </w:r>
          </w:p>
          <w:p>
            <w:pPr>
              <w:ind w:left="-284" w:right="-427"/>
              <w:jc w:val="both"/>
              <w:rPr>
                <w:rFonts/>
                <w:color w:val="262626" w:themeColor="text1" w:themeTint="D9"/>
              </w:rPr>
            </w:pPr>
            <w:r>
              <w:t>	El jurado de esta cuarta edición está formado por Pepa Bueno, periodista y uno de los referentes radiofónicos y televisivos españoles, con una sólida trayectoria reconocida con varios premios; Francisco Javier Martos, director ejecutivo de UNICEF en España, la primera organización internacional en la defensa de los derechos de la infancia; Jorge Wagensberg, uno de los divulgadores científicos más destacados de España y quien lideró la renovación del Museo de la Ciencia de Barcelona hasta llegar a lo que hoy se conoce como CosmoCaixa; y Marc Serruya, Presidente de Honda Motor Europe en España y Portugal.</w:t>
            </w:r>
          </w:p>
          <w:p>
            <w:pPr>
              <w:ind w:left="-284" w:right="-427"/>
              <w:jc w:val="both"/>
              <w:rPr>
                <w:rFonts/>
                <w:color w:val="262626" w:themeColor="text1" w:themeTint="D9"/>
              </w:rPr>
            </w:pPr>
            <w:r>
              <w:t>	Proyectos finalistas 4ª edición Tu Proyecto Nuestro Proyecto</w:t>
            </w:r>
          </w:p>
          <w:p>
            <w:pPr>
              <w:ind w:left="-284" w:right="-427"/>
              <w:jc w:val="both"/>
              <w:rPr>
                <w:rFonts/>
                <w:color w:val="262626" w:themeColor="text1" w:themeTint="D9"/>
              </w:rPr>
            </w:pPr>
            <w:r>
              <w:t>		El proyecto de acogidas temporales en Catalunya de la Asociación TANU, destinado a niños y niñas de Ucrania que viven en la marginalidad o en orfanatos		 </w:t>
            </w:r>
          </w:p>
          <w:p>
            <w:pPr>
              <w:ind w:left="-284" w:right="-427"/>
              <w:jc w:val="both"/>
              <w:rPr>
                <w:rFonts/>
                <w:color w:val="262626" w:themeColor="text1" w:themeTint="D9"/>
              </w:rPr>
            </w:pPr>
            <w:r>
              <w:t>		La Asociación Andaluza de Hemofilia, que promueve la investigación del Déficit de Factor V, una enfermedad rara que afecta a uno de cada millón de nacidos vivos y para la que todavía no se ha encontrado un tratamiento		 </w:t>
            </w:r>
          </w:p>
          <w:p>
            <w:pPr>
              <w:ind w:left="-284" w:right="-427"/>
              <w:jc w:val="both"/>
              <w:rPr>
                <w:rFonts/>
                <w:color w:val="262626" w:themeColor="text1" w:themeTint="D9"/>
              </w:rPr>
            </w:pPr>
            <w:r>
              <w:t>		La Asociación Síndrome Phelan-McDermid, que trabaja en un ensayo clínico para ayudar a los niños afectados por dicho síndrome y aportar más información y conocimiento al respecto		 </w:t>
            </w:r>
          </w:p>
          <w:p>
            <w:pPr>
              <w:ind w:left="-284" w:right="-427"/>
              <w:jc w:val="both"/>
              <w:rPr>
                <w:rFonts/>
                <w:color w:val="262626" w:themeColor="text1" w:themeTint="D9"/>
              </w:rPr>
            </w:pPr>
            <w:r>
              <w:t>		La Fundación Andrés Marcio, Niños contra la Laminopatía, que propone una investigación para predecir arritmias cardíacas y evitar la muerte súbita en niños con laminopatía. Los resultados de este proyecto constituirían la base para un ensayo clínico de esta enfermedad rara		 </w:t>
            </w:r>
          </w:p>
          <w:p>
            <w:pPr>
              <w:ind w:left="-284" w:right="-427"/>
              <w:jc w:val="both"/>
              <w:rPr>
                <w:rFonts/>
                <w:color w:val="262626" w:themeColor="text1" w:themeTint="D9"/>
              </w:rPr>
            </w:pPr>
            <w:r>
              <w:t>		El proyecto Dentrita, que nace de la mano de la Fundación Ana Carolina Díez Mahou y la Unidad de Cuidados Complejos de La Paz. Se trata de una iniciativa para desarrollar ambientes formativos tutelados, basados en herramientas tecnológicas dirigidas al entorno de los niños con patologías crónicas complejas		 </w:t>
            </w:r>
          </w:p>
          <w:p>
            <w:pPr>
              <w:ind w:left="-284" w:right="-427"/>
              <w:jc w:val="both"/>
              <w:rPr>
                <w:rFonts/>
                <w:color w:val="262626" w:themeColor="text1" w:themeTint="D9"/>
              </w:rPr>
            </w:pPr>
            <w:r>
              <w:t>		La asociación Down Galicia y el proyecto Una escuela para tod@s para promover y facilitar la inclusión escolar de los alumnos con síndrome de Down y/o discapacidad intelectual en la escuela ordinaria		 </w:t>
            </w:r>
          </w:p>
          <w:p>
            <w:pPr>
              <w:ind w:left="-284" w:right="-427"/>
              <w:jc w:val="both"/>
              <w:rPr>
                <w:rFonts/>
                <w:color w:val="262626" w:themeColor="text1" w:themeTint="D9"/>
              </w:rPr>
            </w:pPr>
            <w:r>
              <w:t>		De la mano del Programa Padrino Tecnológico, el proyecto The Power of Mobility aspira a conseguir una importante mejora en los niños con movilidad reducida o parálisis cerebral mediante sillas de ruedas adaptadas a su tamaño y andadores que les permitan caminar de pie por si solos		 </w:t>
            </w:r>
          </w:p>
          <w:p>
            <w:pPr>
              <w:ind w:left="-284" w:right="-427"/>
              <w:jc w:val="both"/>
              <w:rPr>
                <w:rFonts/>
                <w:color w:val="262626" w:themeColor="text1" w:themeTint="D9"/>
              </w:rPr>
            </w:pPr>
            <w:r>
              <w:t>		La Fundación Atrofia Muscular Espinar (FundAME) y su proyecto de Estudio de Historia Natural de los menores afectados por la atrofia muscular espinar, que ha de permitir conocer la progresión de la enfermedad y facilitar el desarrollo de tratamientos		 </w:t>
            </w:r>
          </w:p>
          <w:p>
            <w:pPr>
              <w:ind w:left="-284" w:right="-427"/>
              <w:jc w:val="both"/>
              <w:rPr>
                <w:rFonts/>
                <w:color w:val="262626" w:themeColor="text1" w:themeTint="D9"/>
              </w:rPr>
            </w:pPr>
            <w:r>
              <w:t>		También de la mano de la FundAME, la creación de una red de formación e intercambio de buenas prácticas entre los responsables de la fisioterapia y rehabilitación de los niños y niñas que padecen la enfermedad		 </w:t>
            </w:r>
          </w:p>
          <w:p>
            <w:pPr>
              <w:ind w:left="-284" w:right="-427"/>
              <w:jc w:val="both"/>
              <w:rPr>
                <w:rFonts/>
                <w:color w:val="262626" w:themeColor="text1" w:themeTint="D9"/>
              </w:rPr>
            </w:pPr>
            <w:r>
              <w:t>		El proyecto “Por nosotros mismos”, que quiere ofrecer un servicio que promueva la salud funcional de los alumnos del Centro de Atención Temprana Down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https://www.notasdeprensa.es/honda-anuncia-los-10-finalistas-de-la-cuarta_1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