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Hipoges ultima la venta de más de 800 inmuebles residenciales y suelos con descuentos de hasta el 40%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Hipoges, servicer líder en Asset Management en el sur de Europa, encara la recta final de su campaña Summer Home Discounts. Una iniciativa a través de la que ha sacado a la venta más de 800 inmuebles residenciales y suelos para vivienda, ubicados en diferentes regiones de España, con descuentos de hasta el 40%. Concretamente, la campaña concluye el próximo 31 de agosto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activos se sitúan por toda España, sobre todo en zonas costeras de Andalucía, Cataluña, Comunidad Valenciana, Islas Canarias e Islas Baleares; el norte en Cantabria y Asturias; y municipios rurales de Castilla y León, Castilla-La Mancha y Extremadura. Así, la campaña incluye viviendas en zonas de costa como Alicante, desde 46.000 €; en Cádiz, desde 65.000 €; en Málaga, desde 87.500 €; en Barcelona, desde 93.000 €; de interior como Toledo, desde 9.000 €; o del norte como Asturias, desde 12.000 €.</w:t>
            </w:r>
          </w:p>
          <w:p>
            <w:pPr>
              <w:ind w:left="-284" w:right="-427"/>
              <w:jc w:val="both"/>
              <w:rPr>
                <w:rFonts/>
                <w:color w:val="262626" w:themeColor="text1" w:themeTint="D9"/>
              </w:rPr>
            </w:pPr>
            <w:r>
              <w:t>Con esta iniciativa, Hipoges reafirma su compromiso de devolver al mercado aquellos inmuebles que estaban en desuso y, al mismo tiempo, favorecer el acceso a la vivienda a los interesados, tanto si se trata de una primera residencia como de una segunda propiedad. Al mismo tiempo, también permite a pequeños inversores adquirir un inmueble en unas condiciones ventajosas, y aumentar así su patrimonio.</w:t>
            </w:r>
          </w:p>
          <w:p>
            <w:pPr>
              <w:ind w:left="-284" w:right="-427"/>
              <w:jc w:val="both"/>
              <w:rPr>
                <w:rFonts/>
                <w:color w:val="262626" w:themeColor="text1" w:themeTint="D9"/>
              </w:rPr>
            </w:pPr>
            <w:r>
              <w:t>En palabras de Marco Sales, director Global RE Operations, "esta campaña se enmarca dentro de la apuesta por ofrecer soluciones atractivas y diferentes dentro del ámbito inmobiliario, y por contribuir a que las familias puedan adquirir una primera o segunda vivienda en unas condiciones ventajosas, o incluso puedan adquirirla como inversión".</w:t>
            </w:r>
          </w:p>
          <w:p>
            <w:pPr>
              <w:ind w:left="-284" w:right="-427"/>
              <w:jc w:val="both"/>
              <w:rPr>
                <w:rFonts/>
                <w:color w:val="262626" w:themeColor="text1" w:themeTint="D9"/>
              </w:rPr>
            </w:pPr>
            <w:r>
              <w:t>Hipoges cerró el ejercicio de 2023, último completo con estadísticas disponibles, con un crecimiento en el número de inmuebles vendidos del 120%, duplicando las cifras del ejercicio anterior. A nivel global, vendió inmuebles por valor de más de 1.300 millones de euros en 2023, situándose como referente a nivel europeo en el sector.</w:t>
            </w:r>
          </w:p>
          <w:p>
            <w:pPr>
              <w:ind w:left="-284" w:right="-427"/>
              <w:jc w:val="both"/>
              <w:rPr>
                <w:rFonts/>
                <w:color w:val="262626" w:themeColor="text1" w:themeTint="D9"/>
              </w:rPr>
            </w:pPr>
            <w:r>
              <w:t>Sobre HipogesFundada en 2008, actualmente Hipoges es una plataforma de referencia en el sector de Asset Management con más de 50.000 millones de euros en activos bajo gestión. Entre estos activos se incluyen hipotecas residenciales y adjudicados, préstamos promotor, préstamos de consumo sin garantía, préstamos Pymes y préstamos de grandes corporaciones con colateral de diversa tipología y facturas con la Administración. Además, Hipoges también ofrece asesoramiento en el proceso de valoración y compra, asesoramiento en diseño de procesos e implantación de herramientas de gestión, así como soluciones de gestión para activos diversos e inversión. Hipoges gestiona estas actividades gracias a un equipo de más de 1.800 personas en 4 países (España, Portugal, Grecia e Italia) y una avanzada plataforma tecnológica propia que permite establecer la estrategia óptima de trabajo en cada activo.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Navarro </w:t>
      </w:r>
    </w:p>
    <w:p w:rsidR="00C31F72" w:rsidRDefault="00C31F72" w:rsidP="00AB63FE">
      <w:pPr>
        <w:pStyle w:val="Sinespaciado"/>
        <w:spacing w:line="276" w:lineRule="auto"/>
        <w:ind w:left="-284"/>
        <w:rPr>
          <w:rFonts w:ascii="Arial" w:hAnsi="Arial" w:cs="Arial"/>
        </w:rPr>
      </w:pPr>
      <w:r>
        <w:rPr>
          <w:rFonts w:ascii="Arial" w:hAnsi="Arial" w:cs="Arial"/>
        </w:rPr>
        <w:t>Responsables de RPP</w:t>
      </w:r>
    </w:p>
    <w:p w:rsidR="00AB63FE" w:rsidRDefault="00C31F72" w:rsidP="00AB63FE">
      <w:pPr>
        <w:pStyle w:val="Sinespaciado"/>
        <w:spacing w:line="276" w:lineRule="auto"/>
        <w:ind w:left="-284"/>
        <w:rPr>
          <w:rFonts w:ascii="Arial" w:hAnsi="Arial" w:cs="Arial"/>
        </w:rPr>
      </w:pPr>
      <w:r>
        <w:rPr>
          <w:rFonts w:ascii="Arial" w:hAnsi="Arial" w:cs="Arial"/>
        </w:rPr>
        <w:t>667 63 37 75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https://www.notasdeprensa.es/hipoges-ultima-la-venta-de-mas-de-800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