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Heston Capital cierra un fondo de crecimiento defensivo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Heston Capital cierra un fondo de crecimiento defensivo a nuevos inversores tras unos rendimientos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Heston Capital Pty Ltd, empresa de inversión líder reconocida por sus estrategias innovadoras y su rendimiento constante, anuncia el cierre de su Defensive Growth Fund a nuevos inversores, con efecto inmediato. Esta decisión responde a la abrumadora demanda alimentada por los excepcionales rendimientos del fondo en los últimos doce meses.</w:t>
            </w:r>
          </w:p>
          <w:p>
            <w:pPr>
              <w:ind w:left="-284" w:right="-427"/>
              <w:jc w:val="both"/>
              <w:rPr>
                <w:rFonts/>
                <w:color w:val="262626" w:themeColor="text1" w:themeTint="D9"/>
              </w:rPr>
            </w:pPr>
            <w:r>
              <w:t>El Defensive Growth Fund, gestionado por el equipo de profesionales experimentados de Heston Capital, ha superado sistemáticamente los índices de referencia del mercado, obteniendo resultados impresionantes en un contexto económico difícil. El éxito del fondo se atribuye a su sólida estrategia de inversión, que prioriza la preservación del capital al tiempo que busca oportunidades de crecimiento en diversos sectores del mercado.</w:t>
            </w:r>
          </w:p>
          <w:p>
            <w:pPr>
              <w:ind w:left="-284" w:right="-427"/>
              <w:jc w:val="both"/>
              <w:rPr>
                <w:rFonts/>
                <w:color w:val="262626" w:themeColor="text1" w:themeTint="D9"/>
              </w:rPr>
            </w:pPr>
            <w:r>
              <w:t>"A la luz del interés sin precedentes y de las sustanciales entradas de los inversores actuales, hemos tomado la decisión estratégica de cerrar el Defensive Growth Fund a nuevos inversores", declaró el Sr. Oliver Hart, gestor de fondos de Heston Capital. "Esta acción se alinea con nuestro compromiso de salvaguardar los intereses de nuestros inversores actuales y mantener la integridad y los objetivos de rendimiento del fondo".</w:t>
            </w:r>
          </w:p>
          <w:p>
            <w:pPr>
              <w:ind w:left="-284" w:right="-427"/>
              <w:jc w:val="both"/>
              <w:rPr>
                <w:rFonts/>
                <w:color w:val="262626" w:themeColor="text1" w:themeTint="D9"/>
              </w:rPr>
            </w:pPr>
            <w:r>
              <w:t>A pesar del cierre a nuevos inversores, los actuales accionistas seguirán beneficiándose de la inquebrantable dedicación de Heston Capital a ofrecer una sólida rentabilidad ajustada al riesgo. La empresa se mantiene firme en su misión de mantener los más altos estándares de transparencia, diligencia y responsabilidad fiduciaria.</w:t>
            </w:r>
          </w:p>
          <w:p>
            <w:pPr>
              <w:ind w:left="-284" w:right="-427"/>
              <w:jc w:val="both"/>
              <w:rPr>
                <w:rFonts/>
                <w:color w:val="262626" w:themeColor="text1" w:themeTint="D9"/>
              </w:rPr>
            </w:pPr>
            <w:r>
              <w:t>Heston Capital asegura a sus actuales inversores que el cierre no afectará a la gestión ni a los resultados del Defensive Growth Fund. La empresa seguirá aprovechando su experiencia y recursos para navegar por las cambiantes condiciones del mercado e identificar oportunidades lucrativas en nombre de sus clientes.</w:t>
            </w:r>
          </w:p>
          <w:p>
            <w:pPr>
              <w:ind w:left="-284" w:right="-427"/>
              <w:jc w:val="both"/>
              <w:rPr>
                <w:rFonts/>
                <w:color w:val="262626" w:themeColor="text1" w:themeTint="D9"/>
              </w:rPr>
            </w:pPr>
            <w:r>
              <w:t>Sobre Heston CapitalHeston Capital es una empresa de inversión líder especializada en estrategias innovadoras diseñadas para ofrecer a sus clientes rendimientos constantes a largo plazo. Centrándose en la preservación del capital y la gestión del riesgo, Heston Capital emplea un enfoque disciplinado para la gestión de inversiones, aprovechando su amplia experiencia en el mercado y una rigurosa investigación para identificar oportunidades atractivas en los mercados mundiales.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Patrick Fay (Public Relations Officer)</w:t>
      </w:r>
    </w:p>
    <w:p w:rsidR="00C31F72" w:rsidRDefault="00C31F72" w:rsidP="00AB63FE">
      <w:pPr>
        <w:pStyle w:val="Sinespaciado"/>
        <w:spacing w:line="276" w:lineRule="auto"/>
        <w:ind w:left="-284"/>
        <w:rPr>
          <w:rFonts w:ascii="Arial" w:hAnsi="Arial" w:cs="Arial"/>
        </w:rPr>
      </w:pPr>
      <w:r>
        <w:rPr>
          <w:rFonts w:ascii="Arial" w:hAnsi="Arial" w:cs="Arial"/>
        </w:rPr>
        <w:t>Heston Capital Pty Ltd</w:t>
      </w:r>
    </w:p>
    <w:p w:rsidR="00AB63FE" w:rsidRDefault="00C31F72" w:rsidP="00AB63FE">
      <w:pPr>
        <w:pStyle w:val="Sinespaciado"/>
        <w:spacing w:line="276" w:lineRule="auto"/>
        <w:ind w:left="-284"/>
        <w:rPr>
          <w:rFonts w:ascii="Arial" w:hAnsi="Arial" w:cs="Arial"/>
        </w:rPr>
      </w:pPr>
      <w:r>
        <w:rPr>
          <w:rFonts w:ascii="Arial" w:hAnsi="Arial" w:cs="Arial"/>
        </w:rPr>
        <w:t>+44020 8144 2256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https://www.notasdeprensa.es/heston-capital-cierra-un-fondo-de-crecimiento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