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Helena Domènech, responsable de Recursos Humanos para la actividad de equipos de Media Tensión de Schneider Electric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25 de junio de 2012 – Schneider Electric, especialista global en gestión de la energía y líder en eficiencia energética, ha anunciado el nombramiento de Helena Domènech como nueva responsable de Recursos Humanos para las plantas de producción de la actividad de equipos de Media Tensión a nivel global.		Domènech será la responsable de la gestión del personal de 22 fábricas ubicadas en 16 países. Las plantas, situadas en Alemania, Australia, Austria, Bélgica, Brasil, China, España, Francia, Hungría, India, Indonesia, Pakistán, Reino Unido, Suecia, Suiza y Turquía, suman aproximadamente 5.500 trabajadores.		Licenciada en psicología y máster en Recursos Humanos por EADA, Helena Domènech completó su formación con la realización del Administrative Business Cours en la Universidad Linkoping, en Suecia. Su trayectoria profesional en Schneider Electric se inicia el año 2004 como responsable de Comunicación Interna para la Zona Ibérica. Posteriormente ha ocupado distintos cargos dentro del área de Recursos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Telvent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https://www.notasdeprensa.es/helena-domenech-responsable-de-recursos_1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