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08008 barcelona el 02/10/2012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TOTOCI apuesta por Ceuta, Melilla y Marruecos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editorial TOTOCI, uno de los más activos de España y primero de su categoría especializado en el mundo del ocio, por la calidad de sus publicaciones, así como por sus novedosas aplicaciones en diseño gráfico, ha firmado en Marruecos un importante acuerdo que tiene como fundamento la dinamización de todas las actividades que tienen relación con el mundo del ocio, en especial las referidas al sector turístico o relacionadas con el descanso y disfrute.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Dentro de ese proceso de internacionalización de nuestra empresa, que tiene como destino el mundo árabe, y en paralelo a su estreno en Marruecos, TOTOCI también abrirá oficinas en Ceuta y Melilla, facilitando al tejido comercial de ambas ciudades el poder darse a conocer en Marruecos, así como hacer lo mismo con los sectores marroquíes interesados en captar clientes procedentes de las dos ciudades españolas. Asimismo, TOTOCI, quiere contribuir a que ceutíes y melillenses encuentren un modo fácil, rápido y de confianza para acceder a establecimientos, productos y servicios.	La apertura de Sedes en las dos ciudades autónomas permite pensar en un futuro aún más competitivo para las dos ciudades, así como que permitirá su participación en el desarrollo de la región, potenciando la principal fuente de ingresos de las dos ciudades para con Marruecos y viceversa, que es el relativo al turismo y sector servicios.	El Grupo “TOTOCI MAROC” será gestionado por la empresa “La Española Grupo SARL”, con el fin poder abarcar un sector, el turístico, que en Marruecos supone la principal fuente de ingresos junto a la Inversión Directa Extranjera (IDE), ayudando a la expansión de nuestra editorial en todo Marruecos.	Más info: www.franquicias-lowcost.com</w:t>
            </w:r>
          </w:p>
          <w:p>
            <w:pPr>
              <w:ind w:left="-284" w:right="-427"/>
              <w:jc w:val="both"/>
              <w:rPr>
                <w:rFonts/>
                <w:color w:val="262626" w:themeColor="text1" w:themeTint="D9"/>
              </w:rPr>
            </w:pPr>
            <w:r>
              <w:t>	Formulario contacto: http://www.franquicias-lowcost.com/index.php?option=com_breezingforms and Itemid=833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Franquicias-Lowcost.com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938727361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https://www.notasdeprensa.es/grupo-totoci-apuesta-por-ceuta-melilla-y-marruecos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Ceuta y Melilla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