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17/06/2010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de FotoDigitalDiscount en el Digital Day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conquista después de otra para  FotoDigitalDiscount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vez se consigue un éxito sin precedentes del Digital Day de FotoDigitalDiscount realizado los días 4 y 5 de junio de 2010 en Alicante.	El evento se presenta como una ocasión única que permite a todo cliente que entra en la tienda, durante los citados días, revelar gratuitamente hasta 100 fotografías.	El Digital Day de Alicante ha registrado un número record: 48.000 fotos impresas. 	Otro triunfo para FotoDigitalDiscount, que celebra además otra gran noticia en tierra española, la firma de un nuevo contrato en la ciudad de Valencia. 	Para mayor información podéis escribir a info@brdconsulting.it o visitar la página web www.brdconsulting.it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Tarancón</w:t>
      </w:r>
    </w:p>
    <w:p w:rsidR="00C31F72" w:rsidRDefault="00C31F72" w:rsidP="00AB63FE">
      <w:pPr>
        <w:pStyle w:val="Sinespaciado"/>
        <w:spacing w:line="276" w:lineRule="auto"/>
        <w:ind w:left="-284"/>
        <w:rPr>
          <w:rFonts w:ascii="Arial" w:hAnsi="Arial" w:cs="Arial"/>
        </w:rPr>
      </w:pPr>
      <w:r>
        <w:rPr>
          <w:rFonts w:ascii="Arial" w:hAnsi="Arial" w:cs="Arial"/>
        </w:rPr>
        <w:t>Responsable de Países Hispanohablantes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https://www.notasdeprensa.es/gran-exito-de-fotodigitaldiscount-en-el-digital-day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Imágen y sonido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