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García Tejerina: “No se deben dar por cerradas las medidas de apoyo a los sectores afectados por el embargo ruso”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13/10/2014</w:t>
            </w:r>
          </w:p>
          <w:p>
            <w:pPr>
              <w:ind w:left="-284" w:right="-427"/>
              <w:jc w:val="both"/>
              <w:rPr>
                <w:rFonts/>
                <w:color w:val="262626" w:themeColor="text1" w:themeTint="D9"/>
              </w:rPr>
            </w:pPr>
            <w:r>
              <w:t>Explica que la Comisión debe seguir analizando atentamente la evolución de los mercados y proponer nuevas medidas cuando sea necesario</w:t>
            </w:r>
          </w:p>
          <w:p>
            <w:pPr>
              <w:ind w:left="-284" w:right="-427"/>
              <w:jc w:val="both"/>
              <w:rPr>
                <w:rFonts/>
                <w:color w:val="262626" w:themeColor="text1" w:themeTint="D9"/>
              </w:rPr>
            </w:pPr>
            <w:r>
              <w:t>“Debemos dirigir nuestros esfuerzos a recuperar la estabilidad de los mercados” </w:t>
            </w:r>
          </w:p>
          <w:p>
            <w:pPr>
              <w:ind w:left="-284" w:right="-427"/>
              <w:jc w:val="both"/>
              <w:rPr>
                <w:rFonts/>
                <w:color w:val="262626" w:themeColor="text1" w:themeTint="D9"/>
              </w:rPr>
            </w:pPr>
            <w:r>
              <w:t>Comparte la preocupación de Polonia y recuerda que el embargo ruso es consecuencia de una decisión política de la UE ajena al sector agrario </w:t>
            </w:r>
          </w:p>
          <w:p>
            <w:pPr>
              <w:ind w:left="-284" w:right="-427"/>
              <w:jc w:val="both"/>
              <w:rPr>
                <w:rFonts/>
                <w:color w:val="262626" w:themeColor="text1" w:themeTint="D9"/>
              </w:rPr>
            </w:pPr>
            <w:r>
              <w:t>La ministra de Agricultura, Alimentación y Medio Ambiente, Isabel García Tejerina, ha asegurado que “no se deben dar por cerradaslas medidas adoptadas por la Comisión de apoyo a los sectores afectados por el embargo ruso. Y no sólo al sector lácteo, sino también al sector de las frutas y hortalizas”.“La Comisión debe seguir analizandoatentamente la evolución de los mercados y proponer nuevas medidas cuando sea necesario. Debemos dirigir nuestros esfuerzos a recuperar la estabilidad de los mercados”, ha destacado.</w:t>
            </w:r>
          </w:p>
          <w:p>
            <w:pPr>
              <w:ind w:left="-284" w:right="-427"/>
              <w:jc w:val="both"/>
              <w:rPr>
                <w:rFonts/>
                <w:color w:val="262626" w:themeColor="text1" w:themeTint="D9"/>
              </w:rPr>
            </w:pPr>
            <w:r>
              <w:t>En el transcurso del Consejo de Ministros de Agricultura y Pesca que se celebra hoy y mañana en Luxemburgo, IsabelGarcía Tejerina ha compartido la preocupaciónexpresada por Polonia en relación con las consecuencias del veto ruso. “Creo necesario recordar que el embargo ruso es consecuencia de una decisión política adoptada por la UE ajena al sector agrario. Por ello, sus consecuencias, no las deben pagar los agricultores europeos. Debemos explorar todas las posibilidades de financiación de las consecuencias derivadas del veto rusomásallá del Presupuesto agrícola”, ha explicado. </w:t>
            </w:r>
          </w:p>
          <w:p>
            <w:pPr>
              <w:ind w:left="-284" w:right="-427"/>
              <w:jc w:val="both"/>
              <w:rPr>
                <w:rFonts/>
                <w:color w:val="262626" w:themeColor="text1" w:themeTint="D9"/>
              </w:rPr>
            </w:pPr>
            <w:r>
              <w:t>En lo que respecta al sector lácteo, García Tejerina ha explicado que antes de acudir a otro tipo de medidas como las ayudas directas, se deben emplear las medidas de regulación de mercados que pone el Reglamento de la OCM única a disposición de la Comisión, “incluyendo las restituciones a la exportación o la revisión de los precios de intervención”. </w:t>
            </w:r>
          </w:p>
          <w:p>
            <w:pPr>
              <w:ind w:left="-284" w:right="-427"/>
              <w:jc w:val="both"/>
              <w:rPr>
                <w:rFonts/>
                <w:color w:val="262626" w:themeColor="text1" w:themeTint="D9"/>
              </w:rPr>
            </w:pPr>
            <w:r>
              <w:t>“Es necesario adoptar nuevas medidas de regulación de mercados mejor orientadas. Es cierto que las medidas adoptadas hasta ahora no han sido suficientes. Las cotizaciones de las materias primas lácteas siguen cayendo y su efecto está arrastrando a la baja los precios que perciben los ganaderos por la leche que producen”, ha destacado García Tejerina, para añadir que las nuevas medidas deben ir mejor dirigidas hacia las producciones que verdaderamente están afectadas por el embargo ruso, de manera que pueda eliminarse de forma eficaz el exceso de oferta que existe en estos momentos en el mercado europeo.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https://www.notasdeprensa.es/garcia-tejerina-no-se-deben-dar-por-cerradas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