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impulsa obras en Rodalies por valor de 439 millones de euros entre 2014 y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Fomento está impulsando una inversión en las Rodalies de Cataluña que alcanza los 439 millones de euros entre este año y el que viene. De esa cantidad, más de 238 millones de euros se corresponden con las previstas en el acuerdo alcanzado con la Generalitat el pasado mes de noviembre para el plan plurianual 2014-2016.</w:t>
            </w:r>
          </w:p>
          <w:p>
            <w:pPr>
              <w:ind w:left="-284" w:right="-427"/>
              <w:jc w:val="both"/>
              <w:rPr>
                <w:rFonts/>
                <w:color w:val="262626" w:themeColor="text1" w:themeTint="D9"/>
              </w:rPr>
            </w:pPr>
            <w:r>
              <w:t>Del total de la inversión, más de 203 millones se corresponden con la renovación y mejora de estaciones, mientras que casi 70 millones están relacionados con la actualización de las instalaciones de seguridad. Otro importante capítulo es el de infraestructura, al que se dedican 53 millones. En la mejora de las vías se impulsa la inversión de 47 millones de euros y en las líneas aéreas de contacto más de 37 millones. A la adecuación de subestaciones para las nuevas necesidades le han sido asignados 21 millones de euros.</w:t>
            </w:r>
          </w:p>
          <w:p>
            <w:pPr>
              <w:ind w:left="-284" w:right="-427"/>
              <w:jc w:val="both"/>
              <w:rPr>
                <w:rFonts/>
                <w:color w:val="262626" w:themeColor="text1" w:themeTint="D9"/>
              </w:rPr>
            </w:pPr>
            <w:r>
              <w:t>Esas son las principales cifras de cómo está evolucionando el plan de inversiones en Rodalies que fueron expuestas en la reunión mantenida esta semana entre los máximos responsables del Ministerio de Fomento y del Conselleria de Territori y Sostenibilitat de la Generalitat.</w:t>
            </w:r>
          </w:p>
           Actuaciones más destacadas 
          <w:p>
            <w:pPr>
              <w:ind w:left="-284" w:right="-427"/>
              <w:jc w:val="both"/>
              <w:rPr>
                <w:rFonts/>
                <w:color w:val="262626" w:themeColor="text1" w:themeTint="D9"/>
              </w:rPr>
            </w:pPr>
            <w:r>
              <w:t>El plan de inversiones se caracteriza principalmente por la multiplicidad de actuaciones previstas en él para mejorar y renovar la red de Rodalies. No obstante, a continuación se relacionan las más relevantes de entre las contenidas en el plan y las que completan el acuerdo entre el Ministerio de Fomento y la Generalitat.</w:t>
            </w:r>
          </w:p>
              Actuación Importe total previsto (M€)   Reforma estación Passeig de Gracia (adaptación a pmr) 6,498   Estación de Badalona 4,458   Estación de Barcelona Clot-Aragón 3,081   Estación de Calafell. 2ª fase 3,454   Estación de Garraf 2,236   Estación de Masnou 3,174   Estación de Premia de Mar 2,492   Paso inferior de la estación de Arenys de Mar 2,819   Estación de Canet de Mar 3,404   Estación de Pineda de Mar 3,977   Estación de La Molina 3,595   Estación de Sils 1,866   Estación de Francia 4,044   Estación de Caldes de Malavella 4,477   Estación de Figueres 1,100   Estación de Reus 2,900   Estación de Flaça 1,508   Arc de Triomf 1,818   Bellvitge 1,818   Estación de Torredembarra 0,940   Castellbell I El Vilar-Monistrol 1,575   Cerdanyola Universitat 2,168   Els Monjos 2,812   Gelida 4,455   Granollers Centre 1,000   Manresa 4,909   Molins de Rei 7,727   Mollet Sant Fost 2,000   Mollet Santa Rosa 1,818   Montcada Bifurcació 9,909   Montcada i Reixac 1,545   Montcada i Reixac Manresa 6,317   Ocata 4,727   Rubí 1,287   Sabadell Centre 4,455   Sant Andreu Arenal 3,255   Sant Cugat 1,281   Sant Feliu de Llobregat 7,273   Sant Joan Despí 3,364   Sant Miquel de Gonteres 1,404   Sant Pol de Mar 1,000   Sant Sadurní D'anoia 2,182   Santa Perpetua de Mogoda 3,042   Vacarisses 1,812   Vacarisses Torre Blanca 1,812   Viladecavalls 1,484    Otras inversiones 
          <w:p>
            <w:pPr>
              <w:ind w:left="-284" w:right="-427"/>
              <w:jc w:val="both"/>
              <w:rPr>
                <w:rFonts/>
                <w:color w:val="262626" w:themeColor="text1" w:themeTint="D9"/>
              </w:rPr>
            </w:pPr>
            <w:r>
              <w:t>Además de las actuaciones expuestas y detalladas con sus cantidades, también se llevarán a cabo actuaciones por importes de cuantía más limitada en las estaciones de L´Hospitalet de Llobregat, Lleida-Pirineus, Portbou, Balenyà-Els Hostalets, Sants, Tortosa, Castelldefels, Cunit, Cornellà, Montgat, Cerdanyola del Valles, Sabadell Sud, Gava, Girona, Aeroport, Lavern Subirats, MaÇanet Massanes, Mataró, Plaza de Catalunya, Sant Celoni, Torre del Baró y Villafranca del Penedés.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https://www.notasdeprensa.es/fomento-impulsa-obras-en-rodalies-por-valor-de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