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impulsa la Y Vasca al aprobar una inversión de 133,3 M€ para las obras de plataforma de un tramo del Nudo de Bergara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Fomento, a través de Adif Alta Velocidad, ha aprobado, según publica hoy el Boletín Oficial del Estado (BOE), la licitación, por importe de 133.328.648 euros (IVA incluido), del proyecto constructivo de la plataforma del tramo Mondragón-Bergara (sector Kobate), dentro de la línea de alta velocidad Vitoria/Gasteiz-Bilbao-San Sebastián-Frontera francesa.</w:t>
            </w:r>
          </w:p>
          <w:p>
            <w:pPr>
              <w:ind w:left="-284" w:right="-427"/>
              <w:jc w:val="both"/>
              <w:rPr>
                <w:rFonts/>
                <w:color w:val="262626" w:themeColor="text1" w:themeTint="D9"/>
              </w:rPr>
            </w:pPr>
            <w:r>
              <w:t>	Se trata del primero de los tramos que constituyen el denominado Nudo de Bergara, donde confluyen los ramales procedentes o con destino a las tres capitales vascas: Vitoria, Bilbao y San Sebastián.</w:t>
            </w:r>
          </w:p>
          <w:p>
            <w:pPr>
              <w:ind w:left="-284" w:right="-427"/>
              <w:jc w:val="both"/>
              <w:rPr>
                <w:rFonts/>
                <w:color w:val="262626" w:themeColor="text1" w:themeTint="D9"/>
              </w:rPr>
            </w:pPr>
            <w:r>
              <w:t>	El tramo Mondragón-Bergara (sector Kobate), cuyo trazado se ha diseñado para vía doble de alta velocidad con ancho internacional, discurre a lo largo de 2,9 kilómetros entre los municipios de Mondragón (Gipuzkoa) y Elorrio (Bizkaia).</w:t>
            </w:r>
          </w:p>
          <w:p>
            <w:pPr>
              <w:ind w:left="-284" w:right="-427"/>
              <w:jc w:val="both"/>
              <w:rPr>
                <w:rFonts/>
                <w:color w:val="262626" w:themeColor="text1" w:themeTint="D9"/>
              </w:rPr>
            </w:pPr>
            <w:r>
              <w:t>	El proyecto contiene las actuaciones necesarias para la ejecución de las obras de infraestructuras como los movimientos de tierras, obras de drenaje, estructuras, túneles, reposición de los servicios y servidumbres afectadas, incluyendo las conexiones transversales que permitan la permeabilidad de la línea.</w:t>
            </w:r>
          </w:p>
          <w:p>
            <w:pPr>
              <w:ind w:left="-284" w:right="-427"/>
              <w:jc w:val="both"/>
              <w:rPr>
                <w:rFonts/>
                <w:color w:val="262626" w:themeColor="text1" w:themeTint="D9"/>
              </w:rPr>
            </w:pPr>
            <w:r>
              <w:t>	Como elementos singulares del tramo destacan los túneles de Karraskain –este y oeste- para vía única, dos tubos de 448 y 543 metros de longitud, respectivamente. Asimismo, el proyecto incluye la construcción de parte del túnel de Udalaitz este (2,3 km.) y Udalaitz oeste (2,3 km.), que discurre también a lo largo de los otros dos tramos contiguos. Se completa el tramo con la construcción de los dos viaductos para vía única que salvan el arroyo de Kobate, con longitudes de 83 metros el del lado este, y 28 metros el del lado oeste.</w:t>
            </w:r>
          </w:p>
          <w:p>
            <w:pPr>
              <w:ind w:left="-284" w:right="-427"/>
              <w:jc w:val="both"/>
              <w:rPr>
                <w:rFonts/>
                <w:color w:val="262626" w:themeColor="text1" w:themeTint="D9"/>
              </w:rPr>
            </w:pPr>
            <w:r>
              <w:t>	El denominado Nudo de Bergara está integrado por un total de cinco tramos : Mondragón-Bergara (sector Kobate) de 2,9 kilómetros, Mondragón-Bergara (sector Zumalegi) de 2,7 kilómetros, Mondragón-Bergara (sector Anguiozar) de 2,6 kilómetros, Elorrio-Bergara con 2,6 kilómetros y Elorrio-Elorrio de 2,9 kilómetros.</w:t>
            </w:r>
          </w:p>
          <w:p>
            <w:pPr>
              <w:ind w:left="-284" w:right="-427"/>
              <w:jc w:val="both"/>
              <w:rPr>
                <w:rFonts/>
                <w:color w:val="262626" w:themeColor="text1" w:themeTint="D9"/>
              </w:rPr>
            </w:pPr>
            <w:r>
              <w:t>	Características de la nueva línea</w:t>
            </w:r>
          </w:p>
          <w:p>
            <w:pPr>
              <w:ind w:left="-284" w:right="-427"/>
              <w:jc w:val="both"/>
              <w:rPr>
                <w:rFonts/>
                <w:color w:val="262626" w:themeColor="text1" w:themeTint="D9"/>
              </w:rPr>
            </w:pPr>
            <w:r>
              <w:t>	A escala europea, la nueva infraestructura forma parte del Proyecto Prioritario nº 3 del Eje Atlántico Ferroviario europeo, dando continuidad a la línea Madrid-Valladolid-Vitoria/Gasteiz, prolongándola hasta la frontera francesa.</w:t>
            </w:r>
          </w:p>
          <w:p>
            <w:pPr>
              <w:ind w:left="-284" w:right="-427"/>
              <w:jc w:val="both"/>
              <w:rPr>
                <w:rFonts/>
                <w:color w:val="262626" w:themeColor="text1" w:themeTint="D9"/>
              </w:rPr>
            </w:pPr>
            <w:r>
              <w:t>	El nuevo trazado se ha diseñado para doble vía de alta velocidad con ancho internacional (1.435 mm) y permitirá la circulación de trenes de viajeros y mercancías (tráfico mixto).</w:t>
            </w:r>
          </w:p>
          <w:p>
            <w:pPr>
              <w:ind w:left="-284" w:right="-427"/>
              <w:jc w:val="both"/>
              <w:rPr>
                <w:rFonts/>
                <w:color w:val="262626" w:themeColor="text1" w:themeTint="D9"/>
              </w:rPr>
            </w:pPr>
            <w:r>
              <w:t>	Adif tienen encomendada la construcción de 90,2 kilómetros de la plataforma entre Vitoria/Gasteiz y Bilbao, además de la conexión con Gipuzkoa a través del Nudo de Bergara, mientras que el Gobierno de España ha acordado con el Gobierno de la Comunidad Autónoma del País Vasco la construcción del corredor guipuzcoano (Bergara /Donostia/San Sebastián) mediante anticipos sobre el CUPO, que serán reintegrados por el Gobierno de España. Toda la financiación de la Línea de Alta Velocidad la asume el Gobierno de España.</w:t>
            </w:r>
          </w:p>
          <w:p>
            <w:pPr>
              <w:ind w:left="-284" w:right="-427"/>
              <w:jc w:val="both"/>
              <w:rPr>
                <w:rFonts/>
                <w:color w:val="262626" w:themeColor="text1" w:themeTint="D9"/>
              </w:rPr>
            </w:pPr>
            <w:r>
              <w:t>	Principales beneficios</w:t>
            </w:r>
          </w:p>
          <w:p>
            <w:pPr>
              <w:ind w:left="-284" w:right="-427"/>
              <w:jc w:val="both"/>
              <w:rPr>
                <w:rFonts/>
                <w:color w:val="262626" w:themeColor="text1" w:themeTint="D9"/>
              </w:rPr>
            </w:pPr>
            <w:r>
              <w:t>	La nueva línea de alta velocidad permitirá la interconexión de las tres capitales vascas en alta velocidad ferroviaria, lo que redundará en un incremento de la capacidad y la regularidad en todo el recorrido, un aumento del confort y la seguridad, con la adopción de tecnologías punta y la ausencia de pasos a nivel a lo largo de todo el recorrido.</w:t>
            </w:r>
          </w:p>
          <w:p>
            <w:pPr>
              <w:ind w:left="-284" w:right="-427"/>
              <w:jc w:val="both"/>
              <w:rPr>
                <w:rFonts/>
                <w:color w:val="262626" w:themeColor="text1" w:themeTint="D9"/>
              </w:rPr>
            </w:pPr>
            <w:r>
              <w:t>	Además, la nueva infraestructura facilitará el establecimiento de un nudo ferroviario en Vitoria-Gasteiz, permitiendo el acceso desde el resto de España, y la interconexión con la red internacional. El tiempo de viaje entre Vitoria-Gasteiz y Bilbao será de 28 minutos; entre Vitoria-Gasteiz y San Sebastián será de 34 minutos; y de 38 minutos entre Bilbao y San Sebastián.</w:t>
            </w:r>
          </w:p>
          <w:p>
            <w:pPr>
              <w:ind w:left="-284" w:right="-427"/>
              <w:jc w:val="both"/>
              <w:rPr>
                <w:rFonts/>
                <w:color w:val="262626" w:themeColor="text1" w:themeTint="D9"/>
              </w:rPr>
            </w:pPr>
            <w:r>
              <w:t>	Estudios realizados por el Gobierno Vasco estiman que la conexión ferroviaria entre Vitoria/Gasteiz y Bilbao permitirá eliminar de las carreteras más de 5.000 vehículos y unos 1.100 camiones diariamente, lo que posibilitará el ahorro de hasta 8.100 horas de viaje.</w:t>
            </w:r>
          </w:p>
          <w:p>
            <w:pPr>
              <w:ind w:left="-284" w:right="-427"/>
              <w:jc w:val="both"/>
              <w:rPr>
                <w:rFonts/>
                <w:color w:val="262626" w:themeColor="text1" w:themeTint="D9"/>
              </w:rPr>
            </w:pPr>
            <w:r>
              <w:t>	Estos mismos estudios apunta a que el tren de alta velocidad evitará una emisión a la atmósfera de 425 toneladas diarias de CO2, que corresponden a un consumo de 27.000 litros de combustible, así como la menor emisión de carbono, óxido de azufre y otros compuestos químicos y orgánicos a la atmósfera.</w:t>
            </w:r>
          </w:p>
          <w:p>
            <w:pPr>
              <w:ind w:left="-284" w:right="-427"/>
              <w:jc w:val="both"/>
              <w:rPr>
                <w:rFonts/>
                <w:color w:val="262626" w:themeColor="text1" w:themeTint="D9"/>
              </w:rPr>
            </w:pPr>
            <w:r>
              <w:t>	Medidas medioambientales</w:t>
            </w:r>
          </w:p>
          <w:p>
            <w:pPr>
              <w:ind w:left="-284" w:right="-427"/>
              <w:jc w:val="both"/>
              <w:rPr>
                <w:rFonts/>
                <w:color w:val="262626" w:themeColor="text1" w:themeTint="D9"/>
              </w:rPr>
            </w:pPr>
            <w:r>
              <w:t>	Adif invierte una media del 12% del coste total de las obras en la protección medioambiental del trazado, aplicando medidas de protección del entorno natural en todos los proyectos de construcción de nuevas líneas ferroviarias, ajustándose a las estipulaciones de la Declaración de Impacto Ambiental (DIA), además de realizar mejoras en el entorno natural de forma voluntaria.</w:t>
            </w:r>
          </w:p>
          <w:p>
            <w:pPr>
              <w:ind w:left="-284" w:right="-427"/>
              <w:jc w:val="both"/>
              <w:rPr>
                <w:rFonts/>
                <w:color w:val="262626" w:themeColor="text1" w:themeTint="D9"/>
              </w:rPr>
            </w:pPr>
            <w:r>
              <w:t>	En el trazado entre Vitoria/Gasteiz y Bilbao se revegetarán más de 2.433.132 metros cuadrados (equivalentes a 243 campos de fútbol), con arbustos y herbáceas, y se replantarán un total de 118.623 árboles autóctonos.</w:t>
            </w:r>
          </w:p>
          <w:p>
            <w:pPr>
              <w:ind w:left="-284" w:right="-427"/>
              <w:jc w:val="both"/>
              <w:rPr>
                <w:rFonts/>
                <w:color w:val="262626" w:themeColor="text1" w:themeTint="D9"/>
              </w:rPr>
            </w:pPr>
            <w:r>
              <w:t>	La protección de las zonas por las que discurren los nuevos trazados incluye medidas previas y posteriores a la realización de las mismas. Estas medidas afectan tanto al entorno natural como al urbano y contribuyen a minimizar el posible impacto de las obras. Entre ellas figuran la protección de los arroyos, sistemas fluviales y de la calidad de las aguas con la consiguiente elaboración de planes de vigilancia ambiental del propio proyecto constructivo.</w:t>
            </w:r>
          </w:p>
          <w:p>
            <w:pPr>
              <w:ind w:left="-284" w:right="-427"/>
              <w:jc w:val="both"/>
              <w:rPr>
                <w:rFonts/>
                <w:color w:val="262626" w:themeColor="text1" w:themeTint="D9"/>
              </w:rPr>
            </w:pPr>
            <w:r>
              <w:t>	Financiación Europea</w:t>
            </w:r>
          </w:p>
          <w:p>
            <w:pPr>
              <w:ind w:left="-284" w:right="-427"/>
              <w:jc w:val="both"/>
              <w:rPr>
                <w:rFonts/>
                <w:color w:val="262626" w:themeColor="text1" w:themeTint="D9"/>
              </w:rPr>
            </w:pPr>
            <w:r>
              <w:t>	Estas actuaciones van a ser cofinanciadas por las Ayudas RTE-T a través del Mecanismo Financiero CEF “Conectar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https://www.notasdeprensa.es/fomento-impulsa-la-y-vasca-al-aprobar-una_1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