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ha dedicado 865 millones de euros en preservar el Patrimonio Histórico desde 1985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destacado durante la inauguración en Madrid de la exposición “Piedra sobre piedra. 30 años de intervención en el patrimonio arquitectónico”, que el Ministerio de Fomento ha invertido un total de 865 millones de euros en 1.266 actuaciones en el patrimonio histórico desde que se promulgara la Ley de Patrimonio Histórico Español de 1985.</w:t>
            </w:r>
          </w:p>
          <w:p>
            <w:pPr>
              <w:ind w:left="-284" w:right="-427"/>
              <w:jc w:val="both"/>
              <w:rPr>
                <w:rFonts/>
                <w:color w:val="262626" w:themeColor="text1" w:themeTint="D9"/>
              </w:rPr>
            </w:pPr>
            <w:r>
              <w:t>“La restauración y conservación de nuestra herencia monumental es una de nuestras prioridades”, ha señalado la ministra, al tiempo que ha recordado que las competencias de su Departamento en esta materia se apoyan sobre dos pilares básicos: el Programa de Rehabilitación Arquitectónica y el de Conservación del Patrimonio, el 1,5% Cultural.</w:t>
            </w:r>
          </w:p>
          <w:p>
            <w:pPr>
              <w:ind w:left="-284" w:right="-427"/>
              <w:jc w:val="both"/>
              <w:rPr>
                <w:rFonts/>
                <w:color w:val="262626" w:themeColor="text1" w:themeTint="D9"/>
              </w:rPr>
            </w:pPr>
            <w:r>
              <w:t>A través del primero, el Ministerio financia y cofinancia obras de rehabilitación de inmuebles, atendiendo a la rehabilitación del patrimonio arquitectónico y también a la creación de empleo, la sostenibilidad medioambiental, social y económica.</w:t>
            </w:r>
          </w:p>
          <w:p>
            <w:pPr>
              <w:ind w:left="-284" w:right="-427"/>
              <w:jc w:val="both"/>
              <w:rPr>
                <w:rFonts/>
                <w:color w:val="262626" w:themeColor="text1" w:themeTint="D9"/>
              </w:rPr>
            </w:pPr>
            <w:r>
              <w:t>Con respecto al segundo, la titular de Fomento ha mostrado su satisfacción por haberse elevado del 1% al 1,5% el porcentaje del presupuesto total de ejecución de las obras públicas que se destina a financiar los trabajos de conservación del patrimonio histórico tras el acuerdo firmado en 2013.</w:t>
            </w:r>
          </w:p>
          <w:p>
            <w:pPr>
              <w:ind w:left="-284" w:right="-427"/>
              <w:jc w:val="both"/>
              <w:rPr>
                <w:rFonts/>
                <w:color w:val="262626" w:themeColor="text1" w:themeTint="D9"/>
              </w:rPr>
            </w:pPr>
            <w:r>
              <w:t>Durante su intervención, Pastor ha destacado las sinergias que se derivan de la excelente colaboración entre los equipos de los departamentos ministeriales de Fomento y Cultura (la Comisión Mixta entre los Ministerios de Fomento y de Educación, Cultura y Deporte, es el órgano encargado de acordar la financiación de actuaciones en el patrimonio histórico español con cargo al 1,5% Cultural), así como la colaboración institucional con comunidades autónomas y ayuntamientos.</w:t>
            </w:r>
          </w:p>
          <w:p>
            <w:pPr>
              <w:ind w:left="-284" w:right="-427"/>
              <w:jc w:val="both"/>
              <w:rPr>
                <w:rFonts/>
                <w:color w:val="262626" w:themeColor="text1" w:themeTint="D9"/>
              </w:rPr>
            </w:pPr>
            <w:r>
              <w:t>Principales actuacionesLas actuaciones llevadas a cabo se encuentran repartidas por toda la geografía nacional y abarcan trabajos como la rehabilitación integral de pueblos, como el de Bulbal, en Huesca; de puentes, como el romano de Lugo; de castillos, como el jienense de Lopera; de catedrales, como la de Vitoria; de claustros, como el del monasterio de San Bernardo, en Alcalá de Henares; de monasterios, como el de San Salvador de Oña, en Burgos; de conventos, como el de Santa Ana, en la localidad tarraconense de Alcover; de iglesias, como la del Seminario Mayor de la Universidad Pontificia de Comillas; de conjuntos monumentales, como el recinto modernista del Hospital de la Santa Creu i Sant Pau de Barcelona; o de vestigios tan característicos como la muralla de Ávila.</w:t>
            </w:r>
          </w:p>
          <w:p>
            <w:pPr>
              <w:ind w:left="-284" w:right="-427"/>
              <w:jc w:val="both"/>
              <w:rPr>
                <w:rFonts/>
                <w:color w:val="262626" w:themeColor="text1" w:themeTint="D9"/>
              </w:rPr>
            </w:pPr>
            <w:r>
              <w:t>Los trabajos en el patrimonio histórico incluyen también ampliaciones y los nuevos edificios, como el museo Artium de Vitoria; el Plan de teatros de propiedad municipal, como el Arnedo de La Rioja o el Rojas de Toledo; el Programa de rehabilitación de mercados de abastos, como el de Santiago de Compostela; rehabilitaciones para nuevos usos, como el museo de la industria textil de la fábrica de San Albín de Béjar; o la conservación de itinerarios, como la Vía de la Plata o el Camino de Santiago, el primero en ser proclamado ‘Itinerario Cultural Europeo’ por el Consejo de Europa (en 1987).</w:t>
            </w:r>
          </w:p>
          <w:p>
            <w:pPr>
              <w:ind w:left="-284" w:right="-427"/>
              <w:jc w:val="both"/>
              <w:rPr>
                <w:rFonts/>
                <w:color w:val="262626" w:themeColor="text1" w:themeTint="D9"/>
              </w:rPr>
            </w:pPr>
            <w:r>
              <w:t>Todas las actuaciones del Programa del 1,5% Cultural se pueden consultar mediante el Visor del 1,5% Cultural, http://patrimoniohistorico.fomento.es/, donde se encuentra información muy detallada y documentada de todas las actuaciones que se han llevado a cabo o se están ejecutando en este momento.</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https://www.notasdeprensa.es/fomento-ha-dedicado-865-millones-de-euros-en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