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Fomentar la energía verde y eficiente respetuosa con el medio ambiente para las regiones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pone hoy en marcha la Plataforma Europea de Especialización Inteligente en Energía, que ayudará a las regiones y los Estados miembros a utilizar la financiación de la política de cohesión de manera más eficaz para fomentar la energía sostenible. La Plataforma ayudará a las regiones a compartir sus conocimientos en inversiones en energía sostenible y, en particular, en el despliegue de tecnologías hipocarbónicas innovadoras.</w:t>
            </w:r>
          </w:p>
          <w:p>
            <w:pPr>
              <w:ind w:left="-284" w:right="-427"/>
              <w:jc w:val="both"/>
              <w:rPr>
                <w:rFonts/>
                <w:color w:val="262626" w:themeColor="text1" w:themeTint="D9"/>
              </w:rPr>
            </w:pPr>
            <w:r>
              <w:t>	Mediante el apoyo a la utilización óptima de los fondos de la política de cohesión para proyectos de energía sostenible, la Plataforma contribuirá directamente a la realización de la Estrategia Europea de la Unión de la Energía. También tendrá por objeto alinear mejor las actividades de innovación en el ámbito de la energía a escala nacional, regional y local, a fin de crear una agenda estratégica conjunta sobre prioridades en materia de energía. La Plataforma, que ha sido creada por el Centro Común de Investigación (JRC), que es el servicio científico interno de la Comisión, contribuirá a impulsar el crecimiento económico en las regiones garantizando un suministro de energía sostenible, competitivo y seguro.</w:t>
            </w:r>
          </w:p>
          <w:p>
            <w:pPr>
              <w:ind w:left="-284" w:right="-427"/>
              <w:jc w:val="both"/>
              <w:rPr>
                <w:rFonts/>
                <w:color w:val="262626" w:themeColor="text1" w:themeTint="D9"/>
              </w:rPr>
            </w:pPr>
            <w:r>
              <w:t>	Corina Cre?u, Comisaria Europea de Política Regional, comentó: «En el período 2014-2020 se invertirán más de 38 000 millones de euros de fondos de la Política de Cohesión para cumplir los objetivos de la Estrategia de la Unión de la Energía e impulsar el paso a una economía hipocarbónica en todos los sectores. Esta cantidad supone más del doble de la financiación del período anterior. La financiación de la Política de Cohesión ofrece muchas oportunidades, pero también plantea a las regiones importantes retos para realizar los proyectos energéticos cofinanciados por la UE. Por ello, acojo con satisfacción la nueva Plataforma en el campo de la Energía, que pondrá en común conocimientos técnicos conjuntos sobre energía sostenible y ayudará a las regiones a utilizar eficientemente la financiación disponible para invertir en soluciones innovadoras.»</w:t>
            </w:r>
          </w:p>
          <w:p>
            <w:pPr>
              <w:ind w:left="-284" w:right="-427"/>
              <w:jc w:val="both"/>
              <w:rPr>
                <w:rFonts/>
                <w:color w:val="262626" w:themeColor="text1" w:themeTint="D9"/>
              </w:rPr>
            </w:pPr>
            <w:r>
              <w:t>	Tibor Navracsics, Comisario de Educación, Cultura, Juventud y Deporte, y responsable del JRC, declaró: «Para construir una auténtica Unión de la Energía se necesitará una base científica sólida, y me complace que el Centro Común de Investigación, que es el servicio científico interno de la Comisión, desempeñe un papel esencial para lograrlo. La Plataforma de Especialización Inteligente combina conocimientos científicos y herramientas innovadoras de establecimiento de redes. Ayudará a las regiones a acceder a información e intercambiar ideas y mejores prácticas, generando nuevos conocimientos y convirtiéndolos en elementos de construcción de la Unión de la Energía.»</w:t>
            </w:r>
          </w:p>
          <w:p>
            <w:pPr>
              <w:ind w:left="-284" w:right="-427"/>
              <w:jc w:val="both"/>
              <w:rPr>
                <w:rFonts/>
                <w:color w:val="262626" w:themeColor="text1" w:themeTint="D9"/>
              </w:rPr>
            </w:pPr>
            <w:r>
              <w:t>	Para señalar el lanzamiento de la plataforma, hoy se celebra en Bruselas una conferencia de alto nivel en presencia del Comisario Tibor Navracsics. También se unirán al acto por videoconferencia dos sesiones paralelas, organizadas en Andalucía y en Escocia. El acto reúne a responsables políticos, funcionarios, expertos en energía e investigadores para reflexionar y dialogar sobre una agenda estratégica y los próximos pasos en el desarrollo de una especialización inteligente en el sector de la energía.</w:t>
            </w:r>
          </w:p>
          <w:p>
            <w:pPr>
              <w:ind w:left="-284" w:right="-427"/>
              <w:jc w:val="both"/>
              <w:rPr>
                <w:rFonts/>
                <w:color w:val="262626" w:themeColor="text1" w:themeTint="D9"/>
              </w:rPr>
            </w:pPr>
            <w:r>
              <w:t>	Contexto</w:t>
            </w:r>
          </w:p>
          <w:p>
            <w:pPr>
              <w:ind w:left="-284" w:right="-427"/>
              <w:jc w:val="both"/>
              <w:rPr>
                <w:rFonts/>
                <w:color w:val="262626" w:themeColor="text1" w:themeTint="D9"/>
              </w:rPr>
            </w:pPr>
            <w:r>
              <w:t>	El proyecto se basa en una cooperación conjunta entre la Dirección General de Política Regional y Urbana (REGIO), la Dirección General de Energía (ENER) y el Centro Común de Investigación (JRC). Se inspira en la experiencia positiva de la ya existente Plataforma de Especialización Inteligente centrada en estrategias de investigación e innovación (Plataforma S3). En la actualidad participan en las actividades de esta plataforma 172 regiones o países, que suponen más del 80 % de las regiones de la UE. Más de dos tercios de ellos han elegido la energía como su ámbito de especialización inteligente.</w:t>
            </w:r>
          </w:p>
          <w:p>
            <w:pPr>
              <w:ind w:left="-284" w:right="-427"/>
              <w:jc w:val="both"/>
              <w:rPr>
                <w:rFonts/>
                <w:color w:val="262626" w:themeColor="text1" w:themeTint="D9"/>
              </w:rPr>
            </w:pPr>
            <w:r>
              <w:t>	La especialización inteligente es un planteamiento innovador creado por la Comisión Europea para fomentar el crecimiento económico y la prosperidad a nivel regional. Fomenta un uso eficaz y orientado a los objetivos de la inversión pública en investigación e innovación a fin de crear ventajas competitivas y permitir que las regiones se especialicen en el ámbito de sus puntos fuertes relativos. También es una condición previa para beneficiarse de los Fondos Estructurales y de Inversión Europeos.</w:t>
            </w:r>
          </w:p>
          <w:p>
            <w:pPr>
              <w:ind w:left="-284" w:right="-427"/>
              <w:jc w:val="both"/>
              <w:rPr>
                <w:rFonts/>
                <w:color w:val="262626" w:themeColor="text1" w:themeTint="D9"/>
              </w:rPr>
            </w:pPr>
            <w:r>
              <w:t>	La nueva Plataforma en el campo de la Energía proporcionará información y conocimientos sobre la inversión en proyectos en el ámbito de la energía, en consonancia con las necesidades de los responsables políticos, las autoridades y las partes interesadas responsables de la energía y la investigación. Asimismo, desarrollará maneras de poner en contacto Estados miembros y regiones con inversiones previstas e intereses similares en innovación energética.</w:t>
            </w:r>
          </w:p>
          <w:p>
            <w:pPr>
              <w:ind w:left="-284" w:right="-427"/>
              <w:jc w:val="both"/>
              <w:rPr>
                <w:rFonts/>
                <w:color w:val="262626" w:themeColor="text1" w:themeTint="D9"/>
              </w:rPr>
            </w:pPr>
            <w:r>
              <w:t>	La UE prevé invertir unos 38 000 millones de euros en el período 2014-2020 en el marco de su Política de Cohesión, incluidos 2 000 millones de euros para inversiones en redes inteligentes. El objetivo consiste en facilitar el paso a una economía hipocarbónica apoyando proyectos en materia de eficiencia energética y energías renovables, así como en movilidad urbana sostenible y en investigación e innovación.</w:t>
            </w:r>
          </w:p>
          <w:p>
            <w:pPr>
              <w:ind w:left="-284" w:right="-427"/>
              <w:jc w:val="both"/>
              <w:rPr>
                <w:rFonts/>
                <w:color w:val="262626" w:themeColor="text1" w:themeTint="D9"/>
              </w:rPr>
            </w:pPr>
            <w:r>
              <w:t>	Ejemplos de proyectos en el ámbito de la energía financiados por la Política de Cohesión</w:t>
            </w:r>
          </w:p>
          <w:p>
            <w:pPr>
              <w:ind w:left="-284" w:right="-427"/>
              <w:jc w:val="both"/>
              <w:rPr>
                <w:rFonts/>
                <w:color w:val="262626" w:themeColor="text1" w:themeTint="D9"/>
              </w:rPr>
            </w:pPr>
            <w:r>
              <w:t>	WAVE HUB, una solución innovadora de energía renovable (UK)</w:t>
            </w:r>
          </w:p>
          <w:p>
            <w:pPr>
              <w:ind w:left="-284" w:right="-427"/>
              <w:jc w:val="both"/>
              <w:rPr>
                <w:rFonts/>
                <w:color w:val="262626" w:themeColor="text1" w:themeTint="D9"/>
              </w:rPr>
            </w:pPr>
            <w:r>
              <w:t>	La Agrupación para la Construcción Respetuosa con el Medio Ambiente: proporcionando energía a los edificios de la manera adecuada (Austria)</w:t>
            </w:r>
          </w:p>
          <w:p>
            <w:pPr>
              <w:ind w:left="-284" w:right="-427"/>
              <w:jc w:val="both"/>
              <w:rPr>
                <w:rFonts/>
                <w:color w:val="262626" w:themeColor="text1" w:themeTint="D9"/>
              </w:rPr>
            </w:pPr>
            <w:r>
              <w:t>	Plan de renovación de los edificios públicos (Lituania)</w:t>
            </w:r>
          </w:p>
          <w:p>
            <w:pPr>
              <w:ind w:left="-284" w:right="-427"/>
              <w:jc w:val="both"/>
              <w:rPr>
                <w:rFonts/>
                <w:color w:val="262626" w:themeColor="text1" w:themeTint="D9"/>
              </w:rPr>
            </w:pPr>
            <w:r>
              <w:t>	Kistelek muestra las posibilidades de la energía geotérmica (Hungría)</w:t>
            </w:r>
          </w:p>
          <w:p>
            <w:pPr>
              <w:ind w:left="-284" w:right="-427"/>
              <w:jc w:val="both"/>
              <w:rPr>
                <w:rFonts/>
                <w:color w:val="262626" w:themeColor="text1" w:themeTint="D9"/>
              </w:rPr>
            </w:pPr>
            <w:r>
              <w:t>	Información adicional </w:t>
            </w:r>
          </w:p>
          <w:p>
            <w:pPr>
              <w:ind w:left="-284" w:right="-427"/>
              <w:jc w:val="both"/>
              <w:rPr>
                <w:rFonts/>
                <w:color w:val="262626" w:themeColor="text1" w:themeTint="D9"/>
              </w:rPr>
            </w:pPr>
            <w:r>
              <w:t>	Puesta en marcha de la Plataforma Europea de Especialización Inteligente en Energía</w:t>
            </w:r>
          </w:p>
          <w:p>
            <w:pPr>
              <w:ind w:left="-284" w:right="-427"/>
              <w:jc w:val="both"/>
              <w:rPr>
                <w:rFonts/>
                <w:color w:val="262626" w:themeColor="text1" w:themeTint="D9"/>
              </w:rPr>
            </w:pPr>
            <w:r>
              <w:t>	Plataforma de Especialización Inteligente en Energía</w:t>
            </w:r>
          </w:p>
          <w:p>
            <w:pPr>
              <w:ind w:left="-284" w:right="-427"/>
              <w:jc w:val="both"/>
              <w:rPr>
                <w:rFonts/>
                <w:color w:val="262626" w:themeColor="text1" w:themeTint="D9"/>
              </w:rPr>
            </w:pPr>
            <w:r>
              <w:t>	La Política de Cohesión de la UE: los retos del cambio climático y la seguridad energética</w:t>
            </w:r>
          </w:p>
          <w:p>
            <w:pPr>
              <w:ind w:left="-284" w:right="-427"/>
              <w:jc w:val="both"/>
              <w:rPr>
                <w:rFonts/>
                <w:color w:val="262626" w:themeColor="text1" w:themeTint="D9"/>
              </w:rPr>
            </w:pPr>
            <w:r>
              <w:t>	Economía hipocarbónica: Política Regional</w:t>
            </w:r>
          </w:p>
          <w:p>
            <w:pPr>
              <w:ind w:left="-284" w:right="-427"/>
              <w:jc w:val="both"/>
              <w:rPr>
                <w:rFonts/>
                <w:color w:val="262626" w:themeColor="text1" w:themeTint="D9"/>
              </w:rPr>
            </w:pPr>
            <w:r>
              <w:t>	Plataforma de Especialización Inteligente en estrategias de investigación e innovación </w:t>
            </w:r>
          </w:p>
          <w:p>
            <w:pPr>
              <w:ind w:left="-284" w:right="-427"/>
              <w:jc w:val="both"/>
              <w:rPr>
                <w:rFonts/>
                <w:color w:val="262626" w:themeColor="text1" w:themeTint="D9"/>
              </w:rPr>
            </w:pPr>
            <w:r>
              <w:t>	IP/15/5037</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Mirna TALKO (+32 2 298 72 78)</w:t>
            </w:r>
          </w:p>
          <w:p>
            <w:pPr>
              <w:ind w:left="-284" w:right="-427"/>
              <w:jc w:val="both"/>
              <w:rPr>
                <w:rFonts/>
                <w:color w:val="262626" w:themeColor="text1" w:themeTint="D9"/>
              </w:rPr>
            </w:pPr>
            <w:r>
              <w:t>		Nathalie VANDYSTADT (+32 2 296 70 83)</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https://www.notasdeprensa.es/fomentar-la-energia-verde-y-eficiente_1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