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Fideltour, el SaaS líder para hoteles que se encuentra entre las cinco mejores startups de turismo según el Tourism Innovation Summit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líder para hoteles ya ha transaccionado 100M€ en ventas directas y está respaldada por el consorcio hotelero más grande del mundo con más de 3500 hoteles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industria hotelera se encuentra en pleno auge y representa el 9% del PIB mundial, con un volumen total de capital invertido superior a los 3.000 millones de euros. Dentro de este contexto, el balance de este año 2023 es muy positivo, ya que la industria ha mostrado fortaleza para seguir creciendo en 2024.</w:t>
            </w:r>
          </w:p>
          <w:p>
            <w:pPr>
              <w:ind w:left="-284" w:right="-427"/>
              <w:jc w:val="both"/>
              <w:rPr>
                <w:rFonts/>
                <w:color w:val="262626" w:themeColor="text1" w:themeTint="D9"/>
              </w:rPr>
            </w:pPr>
            <w:r>
              <w:t>Frente a esta perspectiva de crecimiento y debido a la creciente demanda de soluciones en el sector turístico, Fideltour, pionera en la industria del CRM hotelero, está revolucionando la forma en que los hoteles interactúan con sus huéspedes y comercializan su venta directa.</w:t>
            </w:r>
          </w:p>
          <w:p>
            <w:pPr>
              <w:ind w:left="-284" w:right="-427"/>
              <w:jc w:val="both"/>
              <w:rPr>
                <w:rFonts/>
                <w:color w:val="262626" w:themeColor="text1" w:themeTint="D9"/>
              </w:rPr>
            </w:pPr>
            <w:r>
              <w:t>La compañía actualmente tiene el 25% de cuota de mercado de las grandes cadenas hoteleras españolas y cuenta con un crecimiento mensual sostenido del 7-8%, mostrando una escalabilidad consistente.</w:t>
            </w:r>
          </w:p>
          <w:p>
            <w:pPr>
              <w:ind w:left="-284" w:right="-427"/>
              <w:jc w:val="both"/>
              <w:rPr>
                <w:rFonts/>
                <w:color w:val="262626" w:themeColor="text1" w:themeTint="D9"/>
              </w:rPr>
            </w:pPr>
            <w:r>
              <w:t>Además, gracias a su enfoque innovador, Fideltour ha logrado una presencia destacada en más de 12 países, generando barreras de entrada significativas, lo que le ha permitido ir consolidando su posición dominante en el mercado. Además, ofrece una ventaja competitiva inigualable que le ha convertido en el único CRM independiente del mercado LATAM.</w:t>
            </w:r>
          </w:p>
          <w:p>
            <w:pPr>
              <w:ind w:left="-284" w:right="-427"/>
              <w:jc w:val="both"/>
              <w:rPr>
                <w:rFonts/>
                <w:color w:val="262626" w:themeColor="text1" w:themeTint="D9"/>
              </w:rPr>
            </w:pPr>
            <w:r>
              <w:t>La compañía abrió una ronda de inversión total de 500.000€, con el objetivo de desarrollar aún más la plataforma, expandirse a nuevos mercados y consolidar su posición de liderazgo en la industria del CRM hotelero.</w:t>
            </w:r>
          </w:p>
          <w:p>
            <w:pPr>
              <w:ind w:left="-284" w:right="-427"/>
              <w:jc w:val="both"/>
              <w:rPr>
                <w:rFonts/>
                <w:color w:val="262626" w:themeColor="text1" w:themeTint="D9"/>
              </w:rPr>
            </w:pPr>
            <w:r>
              <w:t>De la ronda total, 300.000€ han sido reservados a Sego Venture, la línea de Equity Crowdfunding del Grupo SegoFinance, llegando a alcanzar más del 50% en su plataforma en apenas una semana.</w:t>
            </w:r>
          </w:p>
          <w:p>
            <w:pPr>
              <w:ind w:left="-284" w:right="-427"/>
              <w:jc w:val="both"/>
              <w:rPr>
                <w:rFonts/>
                <w:color w:val="262626" w:themeColor="text1" w:themeTint="D9"/>
              </w:rPr>
            </w:pPr>
            <w:r>
              <w:t>La ronda abierta de Fideltour en Sego Venture ya ha alcanzado el 90% y está a punto de finalizar, pero todavía es posible formar parte de esta gran compañía a través de la plataforma de SegoFinance.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SegoFinance</w:t>
      </w:r>
    </w:p>
    <w:p w:rsidR="00C31F72" w:rsidRDefault="00C31F72" w:rsidP="00AB63FE">
      <w:pPr>
        <w:pStyle w:val="Sinespaciado"/>
        <w:spacing w:line="276" w:lineRule="auto"/>
        <w:ind w:left="-284"/>
        <w:rPr>
          <w:rFonts w:ascii="Arial" w:hAnsi="Arial" w:cs="Arial"/>
        </w:rPr>
      </w:pPr>
      <w:r>
        <w:rPr>
          <w:rFonts w:ascii="Arial" w:hAnsi="Arial" w:cs="Arial"/>
        </w:rPr>
        <w:t>SegoFinance</w:t>
      </w:r>
    </w:p>
    <w:p w:rsidR="00AB63FE" w:rsidRDefault="00C31F72" w:rsidP="00AB63FE">
      <w:pPr>
        <w:pStyle w:val="Sinespaciado"/>
        <w:spacing w:line="276" w:lineRule="auto"/>
        <w:ind w:left="-284"/>
        <w:rPr>
          <w:rFonts w:ascii="Arial" w:hAnsi="Arial" w:cs="Arial"/>
        </w:rPr>
      </w:pPr>
      <w:r>
        <w:rPr>
          <w:rFonts w:ascii="Arial" w:hAnsi="Arial" w:cs="Arial"/>
        </w:rPr>
        <w:t>911230231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https://www.notasdeprensa.es/fideltour-el-saas-lider-para-hoteles-que-se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Emprendedores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