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09/03/2021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participará en la mesa redonda sobre Estrategia Digital, organizada por Madrid Foro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José Carrasco, director general de la compañía, será uno de los cuatro participantes junto a responsables de OTIS, I3s Ingeniería y Dígitos, de Mio Group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española Fersay participará el próximo viernes 12 de marzo en la Mesa redonda sobre “Digitalización de la Relación con el cliente B2B: Retos y oportunidades”, impulsada por Madrid Foro Empresarial, y patrocinada por Deusto Business School e Ibercaja.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será inaugurado por Hilario Alfaro, Presidente de Madrid Foro Empresarial y continuará con una ponencia titulada “Estrategias para generar demanda digital B2B”, impartida por Juan Liedo, Fundador y CEO de The Revenue.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Seguidamente, tendrá lugar la mesa redonda en la que participarán Pablo Benito, responsable de operaciones comerciales de la empresa OTIS; Andoni Aranzamendi, director general de I3s Ingeniería en integración de sistemas de información; Enrique Mut, por parte de Dígitos, Mio Group, y José Carrasco, fundador y director general de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se extenderá entre las 11.00 y las 12.15 horas es de carácter abierto y gratuito. Existe un número limitado para asistir presencialmente al encuentro en Deusto Business School y estará abierto a la participación vía online a través del siguiente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compañía española, perteneciente al Grupo Etco, y especializada en la distribución de repuestos y accesorios de electrodomésticos de todas las marcas. La compañía cuenta en la actualidad con un total de 15 tiendas franquiciadas y 49 córners, lo que supone 12 nuevos puntos de venta en nuestro país (frente a 2019). En cuanto a clientes profesionales, más de 5.500 empresas diferentes han realizado algún pedido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puntos de venta, la compañía pone a disposición del cliente repuestos de gama blanca y marrón y PAE (Pequeños Aparatos Electrodomésticos para la cocina, el cuidado personal y el hogar, como cafeteras, tostadoras, planchas, básculas, maquinas de afeitar, secadores, aspiradoras, cepillos de dientes eléctricos, etc., de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unidades, más de 1.300.000 productos han salido de sus instalaciones centrales. En la venta on-line el incremento de pedidos ha sido de un 62,8% y han comprado 210 clientes profesionales mas que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exportación ocupa un 7% dentro de esta cifra de negocio, situando a Francia y Portugal como destinos internacionales prioritarios por su claro crecimiento, seguidos por 36 países a los que la compañía exportó sus productos el año pasado.as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https://www.notasdeprensa.es/fersay-participara-en-la-mesa-redonda-sobre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Madrid E-Commerce Recursos humanos Consumo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