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10/11/2021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forma parte del congreso AECOC como patrocinador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evento se habló de la situación actual del mercado, los diferentes crecimientos por líneas, el panorama económico actual y la transformación digital en el sector,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3 de noviembre, Aecoc celebraba en Madrid el 11º congreso de bienes tecnológicos de consumo, que reunía a más de 100 profesionales del sector electro.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unos duros años sin eventos presenciales, estos encuentros recobran mucha mas importancia y así se ha visto en el incremento de asistentes respecto a la edición pasada.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tuvo el placer de ser patrocinador del programa y poder ser protagonista de una de las ponencias junto con Media Markt y Xiaomi. Esta ponencia, estuvo moderada por su director general, José Carrasco y se trataron temas como los puntos fuertes de las tiendas físicas y las grandes experiencias que vive en cliente en el canal on-line.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congreso, se habló de la situación actual del mercado, los diferentes crecimientos por líneas, el panorama económico actual y la transformación digital en el sector,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especialista en accesorios y recambios para electrodomésticos y electrónica de todas las marcas, incluida su marca propia, es un firme aliado de la distribución e intenta siempre estar cerca de todo lo relacionado con la formación, la colaboración y el progreso del sector electro y está preparada para ayudar al cumplimiento de la nueva ley de garantías que entra en vigor el próximo mes de enero.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como única empresa en el mercado Español y Portugués capaz de dar un servicio único y diferenciado tendrá un papel muy relevante en ayudar a fabricantes y al punto de venta a poder aplicar las nuevas normas de la economía circular.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https://www.notasdeprensa.es/fersay-forma-parte-del-congreso-aecoc-como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Marketing Madrid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