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seleccionada como oferta preferente para la 407 East Phase 2 en Ontario, Canadá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Ferrovial, a través de su filial Cintra Infraestructuras, en consorcio al 50% con Holcim (Canadá) Inc, ha sido elegido por Infrastructure Ontario y el Ministerio de Transporte de Ontario como oferta preferente para el diseño, construcción, financiación y mantenimiento de la autopista 407 East Phase 2 que se ampliará hacia el este a través del área del Gran Toronto, Canadá.</w:t>
            </w:r>
          </w:p>
          <w:p>
            <w:pPr>
              <w:ind w:left="-284" w:right="-427"/>
              <w:jc w:val="both"/>
              <w:rPr>
                <w:rFonts/>
                <w:color w:val="262626" w:themeColor="text1" w:themeTint="D9"/>
              </w:rPr>
            </w:pPr>
            <w:r>
              <w:t>La concesión, de 32 kilómetros, tendrá una duración de 30 años desde la apertura al tráfico de la primera sección del proyecto, prevista para finales de 2017. La autopista 407 East Phase 2 incluye una prolongación de 22 kilómetros, con 2 carriles por sentido, de la autopista 407, desde Harmony Road, en Oshawa, hasta su término en la autopista 35/115, en Clarington. Comprende, además, la conexión con la autopista 401 a través de un nuevo enlace de 10 kilómetros. El proyecto 407 East Phase 2 será una autopista de peaje explícito, como la 407 East Phase 1, en la que la administración de Ontario se encargará de fijar las tarifas y recaudar los ingresos, mientras que la concesionaria será remunerada a través de la fórmula de pago por disponibilidad por el mantenimiento.</w:t>
            </w:r>
          </w:p>
          <w:p>
            <w:pPr>
              <w:ind w:left="-284" w:right="-427"/>
              <w:jc w:val="both"/>
              <w:rPr>
                <w:rFonts/>
                <w:color w:val="262626" w:themeColor="text1" w:themeTint="D9"/>
              </w:rPr>
            </w:pPr>
            <w:r>
              <w:t>Cintra, junto con su socio Holcim (Canada) Inc, será responsable del desarrollo de este proyecto, cuyo diseño y construcción estará a cargo de Ferrovial Agroman y Dufferin Construction, una división de Holcim (Canada) Inc. En los próximos meses se espera alcanzar el cierre financiero del proyecto.</w:t>
            </w:r>
          </w:p>
          <w:p>
            <w:pPr>
              <w:ind w:left="-284" w:right="-427"/>
              <w:jc w:val="both"/>
              <w:rPr>
                <w:rFonts/>
                <w:color w:val="262626" w:themeColor="text1" w:themeTint="D9"/>
              </w:rPr>
            </w:pPr>
            <w:r>
              <w:t>En 2012, también a través de un proceso competitivo, el consorcio liderado por Cintra Infraestructuras se adjudicó ya la 407 East Phase 1. Esta nueva fase del proyecto mejorará las condiciones del tráfico de la región, potenciará las oportunidades de desarrollo económico e impulsará el empleo y mejorará la movilidad de bienes y personas.</w:t>
            </w:r>
          </w:p>
          <w:p>
            <w:pPr>
              <w:ind w:left="-284" w:right="-427"/>
              <w:jc w:val="both"/>
              <w:rPr>
                <w:rFonts/>
                <w:color w:val="262626" w:themeColor="text1" w:themeTint="D9"/>
              </w:rPr>
            </w:pPr>
            <w:r>
              <w:t>Cintra es una compañía líder en la promoción privada de infraestructuras de transporte en todo el mundo, por número de proyectos y por volumen de inversión. Actualmente gestiona más de 2.180 kilómetros de autopista, repartidos en 27 concesiones en Canadá, Estados Unidos y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https://www.notasdeprensa.es/ferrovial-seleccionada-como-oferta-preferente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