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Miranda clausura el acto de presentación de la plataforma tecnológica SigAGROasesor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Valora la utilidad de esta herramienta que recoge gran cantidad de datos y permite a los agricultores tomar decisiones en función de los mismos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director general de Producciones y Mercados Agrarios del Ministerio de Agricultura, Alimentación y Medio Ambiente, Fernando Miranda, ha clausurado hoy el acto de presentación de la nueva plataforma tecnológica SigAGROasesor de servicios on line. Una herramienta de ayuda para la toma de decisiones del sector agrario, que se ha desarrollado en cinco Comunidades Autónomas  a lo largo de tres años y ha presentado hoy el Instituto Navarro de Tecnologías e Infraestructuras Agroalimentarias (INTIA).</w:t>
            </w:r>
          </w:p>
          <w:p>
            <w:pPr>
              <w:ind w:left="-284" w:right="-427"/>
              <w:jc w:val="both"/>
              <w:rPr>
                <w:rFonts/>
                <w:color w:val="262626" w:themeColor="text1" w:themeTint="D9"/>
              </w:rPr>
            </w:pPr>
            <w:r>
              <w:t>	Miranda ha valorado la utilidad de esta plataforma que recoge gran cantidad de datos y permite a los agricultores tomar decisiones en función de la climatología, los riesgos de enfermedades y plagas, la rotación o la variedad más adaptada a su zona, la composición de los suelos o el agua disponible para el riego. </w:t>
            </w:r>
          </w:p>
          <w:p>
            <w:pPr>
              <w:ind w:left="-284" w:right="-427"/>
              <w:jc w:val="both"/>
              <w:rPr>
                <w:rFonts/>
                <w:color w:val="262626" w:themeColor="text1" w:themeTint="D9"/>
              </w:rPr>
            </w:pPr>
            <w:r>
              <w:t>	Una iniciativa, ha señalado, nacida de la suma de fuerzas de Agencia Estatal de Meteorología (AEMET), y los institutos de investigación IFAPA de Andalucía, ITAP de Castilla la Mancha, Mas Badía – IRTA de Cataluña y NEIKER del País Vasco liderados por el INTIA de Navarra, además de la red de expertos, que se presenta bajo el paraguas del instrumento financiero LIFE de la Comunidad Europea.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https://www.notasdeprensa.es/fernando-miranda-clausura-el-acto-de_1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