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FENITEL nombrada vocal de la Comisión Permanente de Telecomunicaciones del Consejo Consultivo para la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FENITEL se siente muy honrada por el nombramiento y agradece al Secretario de Estado de Telecomunicaciones e Infraestructuras Digitales, Roberto Sánchez el haber considerado la candidatura de la Federación como representación de las empresas instaladoras e integradoras de equipos y sistemas de telecomunicaciones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Comisión Permanente ejercerá las funciones del Consejo Consultivo para la Transformación Digital, máximo órganos asesor del Gobierno en la materia, relacionadas con las materias de telecomunicaciones, infraestructuras digitales, despliegue de redes y servicios de comunicaciones electrónicas para garantizar la conectividad digital de los ciudadanos y empresas y servicios de comunicación audiovisual</w:t>
            </w:r>
          </w:p>
          <w:p>
            <w:pPr>
              <w:ind w:left="-284" w:right="-427"/>
              <w:jc w:val="both"/>
              <w:rPr>
                <w:rFonts/>
                <w:color w:val="262626" w:themeColor="text1" w:themeTint="D9"/>
              </w:rPr>
            </w:pPr>
            <w:r>
              <w:t>El Consejo Consultivo para la Transformación Digital funciona en Pleno y en Comisiones Permanentes. A tal efecto, el artículo 10.3 de la citada Orden ETD/920/2020, de 28 de septiembre, crea la Comisión Permanente y establece que, mediante acuerdo del Secretario de Estado de Telecomunicaciones e Infraestructuras Digitales, se determina la composición de la Comisión Permanente de Telecomunicaciones, Infraestructuras Digitales, Conectividad Digital y Sector Audiovisual.</w:t>
            </w:r>
          </w:p>
          <w:p>
            <w:pPr>
              <w:ind w:left="-284" w:right="-427"/>
              <w:jc w:val="both"/>
              <w:rPr>
                <w:rFonts/>
                <w:color w:val="262626" w:themeColor="text1" w:themeTint="D9"/>
              </w:rPr>
            </w:pPr>
            <w:r>
              <w:t>Así mediante Resolución de 3 de noviembre de 2020, de la SETELECO se ha determinado la composición de la Comisión Permanente en la que se ha nombrado a FENITEL en calidad de vocal.</w:t>
            </w:r>
          </w:p>
          <w:p>
            <w:pPr>
              <w:ind w:left="-284" w:right="-427"/>
              <w:jc w:val="both"/>
              <w:rPr>
                <w:rFonts/>
                <w:color w:val="262626" w:themeColor="text1" w:themeTint="D9"/>
              </w:rPr>
            </w:pPr>
            <w:r>
              <w:t>En la determinación de esta composición el Gobierno ha seguido la línea iniciada en la creación del propio Consejo Consultivo para la Transformación Digital, con la vocación de que la citada Comisión Permanente se constituya en un foro amplio para la expresión de los diversos intereses y opiniones de los diferentes agentes involucrados en una tarea tan amplia y ambiciosa como es la transformación digital de la economía y la sociedad españolas.</w:t>
            </w:r>
          </w:p>
          <w:p>
            <w:pPr>
              <w:ind w:left="-284" w:right="-427"/>
              <w:jc w:val="both"/>
              <w:rPr>
                <w:rFonts/>
                <w:color w:val="262626" w:themeColor="text1" w:themeTint="D9"/>
              </w:rPr>
            </w:pPr>
            <w:r>
              <w:t>Por ello la Secretaria de Estado de Telecomunicaciones ha incluido asociaciones sectoriales de servicios y redes de comunicaciones electrónicas, de fabricantes de equipos de telecomunicaciones, de instaladores, de infraestructuras digitales, de servicios de comunicación audiovisual; entidades gestoras de derechos de autor; colegios profesionales de ingeniería; organizaciones de consumidores y usuarios; sindicatos; organizaciones empresariales; o las administraciones locales.</w:t>
            </w:r>
          </w:p>
          <w:p>
            <w:pPr>
              <w:ind w:left="-284" w:right="-427"/>
              <w:jc w:val="both"/>
              <w:rPr>
                <w:rFonts/>
                <w:color w:val="262626" w:themeColor="text1" w:themeTint="D9"/>
              </w:rPr>
            </w:pPr>
            <w:r>
              <w:t>La reunión constitutiva de la Comisión Permanente se celebrará el próximo día 16 de noviembre de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FENITEL</w:t>
      </w:r>
    </w:p>
    <w:p w:rsidR="00C31F72" w:rsidRDefault="00C31F72" w:rsidP="00AB63FE">
      <w:pPr>
        <w:pStyle w:val="Sinespaciado"/>
        <w:spacing w:line="276" w:lineRule="auto"/>
        <w:ind w:left="-284"/>
        <w:rPr>
          <w:rFonts w:ascii="Arial" w:hAnsi="Arial" w:cs="Arial"/>
        </w:rPr>
      </w:pPr>
      <w:r>
        <w:rPr>
          <w:rFonts w:ascii="Arial" w:hAnsi="Arial" w:cs="Arial"/>
        </w:rPr>
        <w:t>www.fenitel.es</w:t>
      </w:r>
    </w:p>
    <w:p w:rsidR="00AB63FE" w:rsidRDefault="00C31F72" w:rsidP="00AB63FE">
      <w:pPr>
        <w:pStyle w:val="Sinespaciado"/>
        <w:spacing w:line="276" w:lineRule="auto"/>
        <w:ind w:left="-284"/>
        <w:rPr>
          <w:rFonts w:ascii="Arial" w:hAnsi="Arial" w:cs="Arial"/>
        </w:rPr>
      </w:pPr>
      <w:r>
        <w:rPr>
          <w:rFonts w:ascii="Arial" w:hAnsi="Arial" w:cs="Arial"/>
        </w:rPr>
        <w:t>917874277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https://www.notasdeprensa.es/fenitel-nombrada-vocal-de-la-comision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