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Fenaer reclama que los tratamientos para asma y EPOC se basen solo en criterios clínicos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pacientes respiratorios, a través de Fenaer, reclaman que la prescripción de los tratamientos farmacológicos inhalados para asma y EPOC se realice únicamente por criterios clínicos y teniendo en cuenta las necesidades y preferencias individuales de cada afectado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recoge la Federación en un posicionamiento consensuado con todas las asociaciones de pacientes de asma y EPOC, ante la sucesión de propuestas tanto legislativas como de algunas organizaciones colegiales dirigidas a limitar la prescripción de los inhaladores presurizados (pMDI) en beneficio de los de polvo seco (DPI) por motivos medioambientales.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pacientes, esas iniciativas ponen en riesgo su posibilidad de acceso a todos los tipos de terapia inhalada disponibles, un derecho que piden a las administraciones sanitarias que garanticen sin restricciones y primando siempre su salud sobre el criterio medioambiental. Esa es, precisamente, la principal demanda incluida en el posicionamiento de Fenaer sobre el derecho de acceso a todas las terapias disponibles, en el que solicitan también a las administraciones públicas que eviten adoptar medidas que limiten la elección del dispositivo más adecuado para cada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representante de un colectivo especialmente afectado por la calidad del medio ambiente, Fenaer está firmemente posicionado en favor de las medidas encaminadas a su protección, pero defiende que dichas medidas no pueden acarrear como contrapartida consecuencias negativas para la salud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el 0,09% de las emisionesFenaer apoya su posicionamiento en el dato objetivo e irrefutable de que el valor total de CO2-eq/año por el uso de dispositivos presurizados supone solo el 0,09% de las emisiones totales en España; que ya en la actualidad la mayoría de las prescripciones de pMDI son de tratamientos de rescate; y que los tratamientos crónicos en PMDI suponen solo el 30% del total y corresponden en su mayoría a personas con incapacidad de cualquier índole para utilizar correctamente inhaladores de polvo seco.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Fenaer recuerda también que la priorización del criterio clínico sobre el medioambiental es defendida por las principales sociedades científicas y organizaciones de pacientes de Europa, como la ERS (European Respiratory Society) y la EFA (European Federation of Allergy and Airways DiseasesPatient’s Associations) y que el Reglamento europeo en vigor para la reducción de las emisiones contempla salvaguardas especiales para los gases de uso farmacéutico.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farmacológicaFrente a propuestas que implícitamente estigmatizan a los pacientes respiratorios por necesitar o preferir un determinado tipo de inhalador, Fenaer apuesta por reconocer, apoyar e incentivar la innovación farmacológica para desarrollar soluciones de inhaladores con envase a presión sostenibles. Sin embargo, hasta que esas nuevas alternativas estén disponibles, los pacientes respiratorios defienden la coexistencia de inhaladores presurizados y de polvo seco y la prescripción de unos u otros, basándose estrictamente en criterios clínicos.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Fenaer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FENAER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624201909 / 66039680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https://www.notasdeprensa.es/fenaer-reclama-que-los-tratamientos-para-asma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Madrid Cataluña Galicia Investigación Científica Solidaridad y cooperación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