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Servicios Medio Ambiente culmina la adquisición a ESG de su negocio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operación confirma la entrada de FCC Servicios Medio Ambiente en el mercado francés de gestión de residuos. Las actividades adquiridas comprenden recogida de residuos, limpieza viaria y servicios de limpieza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FCC Servicios Medio Ambiente ha culminado la adquisición de todas las operaciones de Europe Services Groupe (ESG) en Francia. Con esta adquisición, FCC Servicios confirma su entrada al mercado francés de gestión de residuos. ESG tuvo una cifra de negocio de 98,7 millones de euros en 2023 y cuenta en plantilla con más de 2.000 empleados.</w:t>
            </w:r>
          </w:p>
          <w:p>
            <w:pPr>
              <w:ind w:left="-284" w:right="-427"/>
              <w:jc w:val="both"/>
              <w:rPr>
                <w:rFonts/>
                <w:color w:val="262626" w:themeColor="text1" w:themeTint="D9"/>
              </w:rPr>
            </w:pPr>
            <w:r>
              <w:t>ESG concentra su actividad en dos de las áreas más pobladas de Francia, las áreas metropolitanas de París y Lyon, donde a través de sus cuatro filiales operativas presta servicios de recogida de residuos municipales, limpieza viaria, servicios de limpieza profesionales y de mantenimiento para clientes públicos y privados.</w:t>
            </w:r>
          </w:p>
          <w:p>
            <w:pPr>
              <w:ind w:left="-284" w:right="-427"/>
              <w:jc w:val="both"/>
              <w:rPr>
                <w:rFonts/>
                <w:color w:val="262626" w:themeColor="text1" w:themeTint="D9"/>
              </w:rPr>
            </w:pPr>
            <w:r>
              <w:t>Para Iñigo Sanz, consejero delegado de FCC Servicios Medio Ambiente, "este es un hito muy importante para FCC Servicios y queremos dar la bienvenida a todos los empleados de ESG, con los que continuaremos prestando servicios esenciales de alta calidad a nuestros clientes." Además, confía también "en una rápida integración debido a la proximidad cultural que existe entre ambas empresas".</w:t>
            </w:r>
          </w:p>
          <w:p>
            <w:pPr>
              <w:ind w:left="-284" w:right="-427"/>
              <w:jc w:val="both"/>
              <w:rPr>
                <w:rFonts/>
                <w:color w:val="262626" w:themeColor="text1" w:themeTint="D9"/>
              </w:rPr>
            </w:pPr>
            <w:r>
              <w:t>Por su parte, Carlos Afonso, director de Desarrollo y M and A, señala que "estamos muy orgullosos tanto de haber podido cerrar la operación antes de lo esperado, como con las oportunidades de negocio que esta nueva adquisición brinda a FCC Servicios en Francia".</w:t>
            </w:r>
          </w:p>
          <w:p>
            <w:pPr>
              <w:ind w:left="-284" w:right="-427"/>
              <w:jc w:val="both"/>
              <w:rPr>
                <w:rFonts/>
                <w:color w:val="262626" w:themeColor="text1" w:themeTint="D9"/>
              </w:rPr>
            </w:pPr>
            <w:r>
              <w:t>Bird and Bird ha actuado como asesor legal de FCC Servicios Medio Ambiente en la transacción.</w:t>
            </w:r>
          </w:p>
          <w:p>
            <w:pPr>
              <w:ind w:left="-284" w:right="-427"/>
              <w:jc w:val="both"/>
              <w:rPr>
                <w:rFonts/>
                <w:color w:val="262626" w:themeColor="text1" w:themeTint="D9"/>
              </w:rPr>
            </w:pPr>
            <w:r>
              <w:t>FCC Servicios Medio Ambiente es la cabecera del grupo de empresas que desde hace más de 120 años vertebra las actividades medioambientales del Grupo FCC. Atiende a más de 67 millones de personas en cerca de 5.400 municipios de todo el mundo y gestiona anualmente cerca de 25 millones de toneladas de residuos.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MA</w:t>
      </w:r>
    </w:p>
    <w:p w:rsidR="00C31F72" w:rsidRDefault="00C31F72" w:rsidP="00AB63FE">
      <w:pPr>
        <w:pStyle w:val="Sinespaciado"/>
        <w:spacing w:line="276" w:lineRule="auto"/>
        <w:ind w:left="-284"/>
        <w:rPr>
          <w:rFonts w:ascii="Arial" w:hAnsi="Arial" w:cs="Arial"/>
        </w:rPr>
      </w:pPr>
      <w:r>
        <w:rPr>
          <w:rFonts w:ascii="Arial" w:hAnsi="Arial" w:cs="Arial"/>
        </w:rPr>
        <w:t>FCC MA</w:t>
      </w:r>
    </w:p>
    <w:p w:rsidR="00AB63FE" w:rsidRDefault="00C31F72" w:rsidP="00AB63FE">
      <w:pPr>
        <w:pStyle w:val="Sinespaciado"/>
        <w:spacing w:line="276" w:lineRule="auto"/>
        <w:ind w:left="-284"/>
        <w:rPr>
          <w:rFonts w:ascii="Arial" w:hAnsi="Arial" w:cs="Arial"/>
        </w:rPr>
      </w:pPr>
      <w:r>
        <w:rPr>
          <w:rFonts w:ascii="Arial" w:hAnsi="Arial" w:cs="Arial"/>
        </w:rPr>
        <w:t>91 757 3327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https://www.notasdeprensa.es/fcc-servicios-medio-ambiente-culmina-la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Ecología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