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FCC Servicios Medio Ambiente completa la adquisición de la filial de Urbaser en Reino Unido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negocio de Urbaser en el país consiste principalmente en actividades de reciclaje, tratamiento, recogida de residuos y limpieza viaria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FCC Servicios Medio Ambiente, ha culminado la compra a Urbaser del negocio de su filial en Reino Unido anunciada en diciembre de 2023. FCC Servicios Medio Ambiente está presente con su filial FCC Environment UK en el mercado británico desde 1989. Esta adquisición refuerza la posición de la empresa como uno de los principales operadores de gestión de residuos del país. La compra del negocio británico de Urbaser le permitirá ampliar la oferta de productos y servicios y mejorar la propuesta de valor para sus clientes.</w:t>
            </w:r>
          </w:p>
          <w:p>
            <w:pPr>
              <w:ind w:left="-284" w:right="-427"/>
              <w:jc w:val="both"/>
              <w:rPr>
                <w:rFonts/>
                <w:color w:val="262626" w:themeColor="text1" w:themeTint="D9"/>
              </w:rPr>
            </w:pPr>
            <w:r>
              <w:t>La filial Urbaser UK cuenta en Reino Unido con instalaciones de compostaje, recuperación de materiales, valorización energética y disposición final, además de centros de reciclaje doméstico. Además, presta servicios de recogida de residuos municipales, gestión de centros de reciclaje y limpieza viaria.</w:t>
            </w:r>
          </w:p>
          <w:p>
            <w:pPr>
              <w:ind w:left="-284" w:right="-427"/>
              <w:jc w:val="both"/>
              <w:rPr>
                <w:rFonts/>
                <w:color w:val="262626" w:themeColor="text1" w:themeTint="D9"/>
              </w:rPr>
            </w:pPr>
            <w:r>
              <w:t>Iñigo Sanz, consejero delegado de FCC Servicios Medio Ambiente ha declarado: "Esta operación refuerza más si cabe la posición de liderazgo de FCC Servicios Medio Ambiente, tanto a nivel europeo como mundial, en el sector de la gestión integral de residuos y la economía circular".</w:t>
            </w:r>
          </w:p>
          <w:p>
            <w:pPr>
              <w:ind w:left="-284" w:right="-427"/>
              <w:jc w:val="both"/>
              <w:rPr>
                <w:rFonts/>
                <w:color w:val="262626" w:themeColor="text1" w:themeTint="D9"/>
              </w:rPr>
            </w:pPr>
            <w:r>
              <w:t>Para Steve Longdon, Chief Executive Officer de FCC Environment UK: "Como una de las empresas de gestión de residuos más avanzadas del Reino Unido, esta operación es muy positiva para nuestro negocio y refuerza nuestros servicios principales todavía más. Queremos dar la bienvenida al equipo de Urbaser, con quien continuaremos realizando nuestra labor de atender cada día a todos nuestros clientes prestando servicios esenciales".</w:t>
            </w:r>
          </w:p>
          <w:p>
            <w:pPr>
              <w:ind w:left="-284" w:right="-427"/>
              <w:jc w:val="both"/>
              <w:rPr>
                <w:rFonts/>
                <w:color w:val="262626" w:themeColor="text1" w:themeTint="D9"/>
              </w:rPr>
            </w:pPr>
            <w:r>
              <w:t>Santander Corporate  and  Investment Bank ha actuado como asesor financiero de FCC Servicios Medio Ambiente en la transacción y Linklaters ha ejercido de asesor legal.</w:t>
            </w:r>
          </w:p>
          <w:p>
            <w:pPr>
              <w:ind w:left="-284" w:right="-427"/>
              <w:jc w:val="both"/>
              <w:rPr>
                <w:rFonts/>
                <w:color w:val="262626" w:themeColor="text1" w:themeTint="D9"/>
              </w:rPr>
            </w:pPr>
            <w:r>
              <w:t>FCC Servicios Medio Ambiente es la cabecera del grupo de empresas que desde hace más de 120 años vertebra las actividades medioambientales del Grupo FCC. Atiende a más de 67 millones de personas en cerca de 5.400 municipios de todo el mundo y gestiona anualmente más de 24,7 millones de toneladas de residuos.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FCC MA</w:t>
      </w:r>
    </w:p>
    <w:p w:rsidR="00C31F72" w:rsidRDefault="00C31F72" w:rsidP="00AB63FE">
      <w:pPr>
        <w:pStyle w:val="Sinespaciado"/>
        <w:spacing w:line="276" w:lineRule="auto"/>
        <w:ind w:left="-284"/>
        <w:rPr>
          <w:rFonts w:ascii="Arial" w:hAnsi="Arial" w:cs="Arial"/>
        </w:rPr>
      </w:pPr>
      <w:r>
        <w:rPr>
          <w:rFonts w:ascii="Arial" w:hAnsi="Arial" w:cs="Arial"/>
        </w:rPr>
        <w:t>FCC MA</w:t>
      </w:r>
    </w:p>
    <w:p w:rsidR="00AB63FE" w:rsidRDefault="00C31F72" w:rsidP="00AB63FE">
      <w:pPr>
        <w:pStyle w:val="Sinespaciado"/>
        <w:spacing w:line="276" w:lineRule="auto"/>
        <w:ind w:left="-284"/>
        <w:rPr>
          <w:rFonts w:ascii="Arial" w:hAnsi="Arial" w:cs="Arial"/>
        </w:rPr>
      </w:pPr>
      <w:r>
        <w:rPr>
          <w:rFonts w:ascii="Arial" w:hAnsi="Arial" w:cs="Arial"/>
        </w:rPr>
        <w:t>91 359 54 00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https://www.notasdeprensa.es/fcc-servicios-medio-ambiente-completa-la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Ecología Sostenibilidad Otras Industrias Construcción y Materiales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