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conmemora el Día Internacional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bajo el slogan "La mujer: visión y perspectiva en nuestros sectores", ha llevado a cabo un acto en la Sede Corporativa de las Tablas, en Madrid, en el que se ha analizado la situación de la mujer con especial referencia a los sectores en los que la empresa tiene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celebra hoy el Día Internacional de la Mujer que tiene lugar cada año el 8 de marzo, una fecha que ha adquirido una relevancia mundial y que se ha transformado para FCC en un espacio de análisis y reflexión sobre los aspectos que aún se han de mejorar y los progresos alcanzados por y en favor de las mujeres.</w:t>
            </w:r>
          </w:p>
          <w:p>
            <w:pPr>
              <w:ind w:left="-284" w:right="-427"/>
              <w:jc w:val="both"/>
              <w:rPr>
                <w:rFonts/>
                <w:color w:val="262626" w:themeColor="text1" w:themeTint="D9"/>
              </w:rPr>
            </w:pPr>
            <w:r>
              <w:t>La compañía, bajo el slogan "La mujer: visión y perspectiva en nuestros sectores", ha llevado a cabo un acto en la Sede Corporativa de las Tablas, en Madrid, en el que se ha analizado la situación de la mujer con especial referencia a los sectores en los que la empresa tiene actividad. Dicha jornada ha sido inaugurada por Esther Alcocer Koplowitz, presidenta del Grupo FCC, y que durante su intervención ha querido destacar que "conformamos un grupo fuerte y nos hace fuertes no solo nuestro saber hacer y liderazgo en los sectores de actividad en los que actuamos, sino también nuestro compromiso permanente con valores como el de la igualdad y la justicia social". </w:t>
            </w:r>
          </w:p>
          <w:p>
            <w:pPr>
              <w:ind w:left="-284" w:right="-427"/>
              <w:jc w:val="both"/>
              <w:rPr>
                <w:rFonts/>
                <w:color w:val="262626" w:themeColor="text1" w:themeTint="D9"/>
              </w:rPr>
            </w:pPr>
            <w:r>
              <w:t>Bajo el formato de mesa redonda, compuesta por representantes de las patronales de cada uno de los sectores de actividad que desempeña la compañía, han participado, por parte del sector medioambiental, Antonio Rodríguez Gómez, director de la delegación Centro y presidente de la Asociación de Empresas de Gestión de Infraestructura Verde (ASEJA); del sector de agua, María Ángeles Polo Ávalos, responsable del departamento de Talento y Diversidad de Aqualia y presidenta del Grupo de Trabajo de Formación de la Asociación Española de Empresas Gestoras de Servicios de Agua Urbana (AGA); en representación del sector de la construcción, representado por Pedro Fernández Alén, presidente de la Fundación Laboral de la Construcción (FLC) y de la Confederación Nacional de la Construcción; del sector cementero, Aniceto Zaragoza Ramírez, director general de la Agrupación de fabricantes de cemento de España, Oficemen y por último, del sector Inmobiliario, Ana Hernández Gómez, directora de negocio del área Inmobiliaria del Grupo FCC y miembro de la Junta Rectora de la Asociación de Promotores Inmobiliarios de Madrid (ASPRIMA) y presidenta de la Comisión de Formación de dicha asociación.    </w:t>
            </w:r>
          </w:p>
          <w:p>
            <w:pPr>
              <w:ind w:left="-284" w:right="-427"/>
              <w:jc w:val="both"/>
              <w:rPr>
                <w:rFonts/>
                <w:color w:val="262626" w:themeColor="text1" w:themeTint="D9"/>
              </w:rPr>
            </w:pPr>
            <w:r>
              <w:t>La jornada se ha clausurado con un video en el que han participado trabajadoras de las distintas áreas de negocio y sus familiares, en el que comparten sus experiencias profesionales.</w:t>
            </w:r>
          </w:p>
          <w:p>
            <w:pPr>
              <w:ind w:left="-284" w:right="-427"/>
              <w:jc w:val="both"/>
              <w:rPr>
                <w:rFonts/>
                <w:color w:val="262626" w:themeColor="text1" w:themeTint="D9"/>
              </w:rPr>
            </w:pPr>
            <w:r>
              <w:t>"Nuestro compromiso constante con la igualdad"FCC cuenta con una política de igualdad y diversidad a través de la cual reafirma su compromiso con los principios fundamentales de igualdad, no discriminación en el entorno laboral, apoyo a la diversidad en la empresa y respeto a la heterogeneidad de las personas. En esta labor, en la que la compañía trabaja desde hace años, ha dado ya importantes frutos y valores, gracias a los cuales va afianzándose una atmósfera de trabajo justa, seria y profundamente diversa.</w:t>
            </w:r>
          </w:p>
          <w:p>
            <w:pPr>
              <w:ind w:left="-284" w:right="-427"/>
              <w:jc w:val="both"/>
              <w:rPr>
                <w:rFonts/>
                <w:color w:val="262626" w:themeColor="text1" w:themeTint="D9"/>
              </w:rPr>
            </w:pPr>
            <w:r>
              <w:t>Además, destacar que las áreas de negocio de FCC cuentan con un total de catorce Planes de Igualdad que sirven de vehículo para el impulso de acciones y medidas en relación con la igualdad de género.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https://www.notasdeprensa.es/fcc-conmemora-el-dia-internacional-de-la-mujer_1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Solidaridad y cooperación Recursos humanos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