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aumenta su Ebitda un 16,6% y alcanza los 1.529,6 millones de euros a cierre del ejercicio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FCC mejoró su beneficio bruto operativo (Ebitda) un 16,6% hasta los 1.529,6 millones en 2023. El importe de la cifra de negocios ascendió a 9.026 millones de euros, un 17,1% más que el registrado en el año anterior. El Ebit se elevó un 49,1% hasta los 910,3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FCC mejoró su beneficio bruto operativo (EBITDA) un 16,6% hasta los 1.529,6 millones en 2023, frente a los 1.311,4 millones obtenidos en 2022, debido a la estabilidad registrada en las principales áreas de negocio del Grupo, con un impacto más relevante en la actividad de Cemento. El margen operativo de Ebitda consolidado ha sido del 16,9%, similar al obtenido en el ejercicio pasado.</w:t>
            </w:r>
          </w:p>
          <w:p>
            <w:pPr>
              <w:ind w:left="-284" w:right="-427"/>
              <w:jc w:val="both"/>
              <w:rPr>
                <w:rFonts/>
                <w:color w:val="262626" w:themeColor="text1" w:themeTint="D9"/>
              </w:rPr>
            </w:pPr>
            <w:r>
              <w:t>El importe de la cifra de negocios ascendió a 9.026 millones de euros, un 17,1% más que el registrado en el año anterior. A este crecimiento han contribuido de forma notable las actividades de Cemento (18,9%) y Construcción (43,5%), seguidas de un fuerte incremento en el área de Agua (12,4%).</w:t>
            </w:r>
          </w:p>
          <w:p>
            <w:pPr>
              <w:ind w:left="-284" w:right="-427"/>
              <w:jc w:val="both"/>
              <w:rPr>
                <w:rFonts/>
                <w:color w:val="262626" w:themeColor="text1" w:themeTint="D9"/>
              </w:rPr>
            </w:pPr>
            <w:r>
              <w:t>Por su parte el Ebit se elevó un 49,1% hasta los 910,3 millones de euros, debido al aumento del Ebitda y al efecto base del ajuste practicado en 2022 de 200 millones de euros en el valor de diversos activos de inmovilizado material y del fondo de comercio del área de Cemento.</w:t>
            </w:r>
          </w:p>
          <w:p>
            <w:pPr>
              <w:ind w:left="-284" w:right="-427"/>
              <w:jc w:val="both"/>
              <w:rPr>
                <w:rFonts/>
                <w:color w:val="262626" w:themeColor="text1" w:themeTint="D9"/>
              </w:rPr>
            </w:pPr>
            <w:r>
              <w:t>El resultado neto atribuible se incrementó un 87,5% hasta los 591 millones de euros alcanzados en el ejercicio, debido a la buena evolución del resultado operativo junto al efecto de la inclusión por puesta en equivalencia de la participación de Metrovacesa en el área Inmobiliaria, por un importe de 142,4 millones de euros.</w:t>
            </w:r>
          </w:p>
          <w:p>
            <w:pPr>
              <w:ind w:left="-284" w:right="-427"/>
              <w:jc w:val="both"/>
              <w:rPr>
                <w:rFonts/>
                <w:color w:val="262626" w:themeColor="text1" w:themeTint="D9"/>
              </w:rPr>
            </w:pPr>
            <w:r>
              <w:t>Asimismo, el patrimonio neto registró un considerable crecimiento a diciembre de 2023, un 24,4% más que el año anterior, hasta alcanzar los 6.145,9 millones de euros, debido al aumento del beneficio consolidado y al impacto derivado de la venta de una participación del 24,99% de la cabecera de FCC Medio Ambiente.</w:t>
            </w:r>
          </w:p>
          <w:p>
            <w:pPr>
              <w:ind w:left="-284" w:right="-427"/>
              <w:jc w:val="both"/>
              <w:rPr>
                <w:rFonts/>
                <w:color w:val="262626" w:themeColor="text1" w:themeTint="D9"/>
              </w:rPr>
            </w:pPr>
            <w:r>
              <w:t>A cierre del ejercicio 2023, la deuda financiera neta del Grupo FCC se ha situado en 3.100,1 millones de euros, un 2,9% inferior a 2022.</w:t>
            </w:r>
          </w:p>
          <w:p>
            <w:pPr>
              <w:ind w:left="-284" w:right="-427"/>
              <w:jc w:val="both"/>
              <w:rPr>
                <w:rFonts/>
                <w:color w:val="262626" w:themeColor="text1" w:themeTint="D9"/>
              </w:rPr>
            </w:pPr>
            <w:r>
              <w:t>La cartera de ingresos alcanzó los 41.620,8 millones de euros al 31 de diciembre, con un incremento de un 3,3% respecto al cierre del año anterior, atribuible en su mayor parte al destacado aumento en la actividad de Agua.</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FCC</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https://www.notasdeprensa.es/fcc-aumenta-su-ebitda-un-166-y-alcanza-los-15296-millones-de-euros-a-cierre-del-ejercicio-2023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Sostenibilidad Innovación Tecnológica Construcción y Materiales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