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 Facial CLINIQUE comienza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Entre sus mercados preferentes se encuentran Perú, México, China, Portugal, República Dominicana y Arabia Saudí
•	El sector está experimentando un fuerte desarrollo a nivel mundial. Los últimos datos confirman que desde 1997 la medicina estética no quirúrgica ha crecido un 356%
•	En España la enseña está presente con una red de siete clínicas operativas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FC Facial CLINIQUE, la primera firma especializada en medicina estética facial, comienza su expansión internacional, tras consolidar su modelo de negocio en nuestro país a través de siete clínicas operativas.</w:t>
            </w:r>
          </w:p>
          <w:p>
            <w:pPr>
              <w:ind w:left="-284" w:right="-427"/>
              <w:jc w:val="both"/>
              <w:rPr>
                <w:rFonts/>
                <w:color w:val="262626" w:themeColor="text1" w:themeTint="D9"/>
              </w:rPr>
            </w:pPr>
            <w:r>
              <w:t>	El importante crecimiento que están experimentando los servicios de estética a nivel mundial ha sido uno de los principales motivos que ha llevado a la compañía a plantearse su salida al exterior. Los mercados prioritarios para su desarrollo son Perú, México, China, República Dominicana, además de Arabia Saudí y Portugal, donde actualmente cuenta con contactos muy avanzados que prevé materializar en los próximos meses.</w:t>
            </w:r>
          </w:p>
          <w:p>
            <w:pPr>
              <w:ind w:left="-284" w:right="-427"/>
              <w:jc w:val="both"/>
              <w:rPr>
                <w:rFonts/>
                <w:color w:val="262626" w:themeColor="text1" w:themeTint="D9"/>
              </w:rPr>
            </w:pPr>
            <w:r>
              <w:t>	Su estrategia de expansión se llevará a cabo a través de la concesión de masterfranquicias en estos países y las clínicas médicas especialistas se gestionarán mediante la misma operativa que las clínicas españolas, cuyo éxito viene determinado por la calidad de sus tratamientos.</w:t>
            </w:r>
          </w:p>
          <w:p>
            <w:pPr>
              <w:ind w:left="-284" w:right="-427"/>
              <w:jc w:val="both"/>
              <w:rPr>
                <w:rFonts/>
                <w:color w:val="262626" w:themeColor="text1" w:themeTint="D9"/>
              </w:rPr>
            </w:pPr>
            <w:r>
              <w:t>	FC Facial CLINIQUE trabaja con los mejores profesionales de la medicina estética facial. Asimismo, los acuerdos que mantiene con laboratorios de reconocido prestigio a nivel internacional y los productos médicos que emplea para la implantación de cada uno de sus tratamientos, garantiza el alto índice de satisfacción de sus pacientes.</w:t>
            </w:r>
          </w:p>
          <w:p>
            <w:pPr>
              <w:ind w:left="-284" w:right="-427"/>
              <w:jc w:val="both"/>
              <w:rPr>
                <w:rFonts/>
                <w:color w:val="262626" w:themeColor="text1" w:themeTint="D9"/>
              </w:rPr>
            </w:pPr>
            <w:r>
              <w:t>	Otro de los valores diferenciales de la enseña es su interés por democratizar la medicina estética facial, por lo que sus tratamientos son hasta un 60% más económicos que los de su competencia, dando acceso al gran público a los tratamientos faciales más innovadores del mercado.</w:t>
            </w:r>
          </w:p>
          <w:p>
            <w:pPr>
              <w:ind w:left="-284" w:right="-427"/>
              <w:jc w:val="both"/>
              <w:rPr>
                <w:rFonts/>
                <w:color w:val="262626" w:themeColor="text1" w:themeTint="D9"/>
              </w:rPr>
            </w:pPr>
            <w:r>
              <w:t>	La empresa trasladará esta filosofía empresarial en aquellos países en los que desembarque con el objetivo de obtener las cifras que los centros están alcanzando en España, cuya facturación en 2012 se incrementó en más del 70% en las clínicas con más de un año de funcionamiento y el 66% en las de nueva apertura.</w:t>
            </w:r>
          </w:p>
          <w:p>
            <w:pPr>
              <w:ind w:left="-284" w:right="-427"/>
              <w:jc w:val="both"/>
              <w:rPr>
                <w:rFonts/>
                <w:color w:val="262626" w:themeColor="text1" w:themeTint="D9"/>
              </w:rPr>
            </w:pPr>
            <w:r>
              <w:t>	FC Facial CLINIQUE ofrece una variada gama de tratamientos que incluyen: Bioplástia Facial (rellenos de ácido hialurónico), Peelings, Mesoterapia facial, Toxina Botulínica (botox), Plasma Rico en Plaquetas (PRP) y el tratamiento más revolucionario, Biolifting, el lifting sin cirugía.</w:t>
            </w:r>
          </w:p>
          <w:p>
            <w:pPr>
              <w:ind w:left="-284" w:right="-427"/>
              <w:jc w:val="both"/>
              <w:rPr>
                <w:rFonts/>
                <w:color w:val="262626" w:themeColor="text1" w:themeTint="D9"/>
              </w:rPr>
            </w:pPr>
            <w:r>
              <w:t>	La inversión necesaria para poner en funcionamiento una clínica de la firma gira en torno a 105.500 euros para poblaciones con un mínimo de 80.000 habitantes. De cara a su desarrollo internacional, la empresa adaptará esta inversión a las particularidades del país de destino.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902 52 98 52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https://www.notasdeprensa.es/fc-facial-clinique-comienza-su-expansion-internacional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