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Eurecat apunta a la Inteligencia Artificial Generativa como la tendencia tecnológica que marcará el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tecnológico Eurecat prevé que 2024 será el año de la explotación de la Inteligencia Artificial Generativa, que dará lugar a soluciones desarrolladas para una gran cantidad de sectores, incluyendo la salud, la construcción, la manufactura, la educación, las finanzas, el comercio y la administración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este respecto, el director científico de Eurecat, Daniel Casellas, pone de relieve "el enorme potencial que se abre para conseguir que los nuevos desarrollos tecnológicos en el ámbito de la Inteligencia Artificial Generativa se transfieran a los diferentes sectores, de modo que las soluciones generen nuevas oportunidades, sean sostenibles y refuercen la resiliencia industrial".</w:t>
            </w:r>
          </w:p>
          <w:p>
            <w:pPr>
              <w:ind w:left="-284" w:right="-427"/>
              <w:jc w:val="both"/>
              <w:rPr>
                <w:rFonts/>
                <w:color w:val="262626" w:themeColor="text1" w:themeTint="D9"/>
              </w:rPr>
            </w:pPr>
            <w:r>
              <w:t>Según subraya la directora científica del Área Digital de Eurecat, María Eugenia Fuenmayor, la Inteligencia Artificial Generativa "ha causado un gran impacto y sin duda seguirá siendo tendencia en 2024, donde evolucionará a modelos más avanzados, multimodales, con más eficiencia y precisión que los actuales y con mejoras en la ética y transparencia de los resultados".</w:t>
            </w:r>
          </w:p>
          <w:p>
            <w:pPr>
              <w:ind w:left="-284" w:right="-427"/>
              <w:jc w:val="both"/>
              <w:rPr>
                <w:rFonts/>
                <w:color w:val="262626" w:themeColor="text1" w:themeTint="D9"/>
              </w:rPr>
            </w:pPr>
            <w:r>
              <w:t>Sin embargo, especifica, para poder entrar definitivamente en los procesos automáticos de las empresas, los grandes modelos de lenguaje "deben mejorar en diversos aspectos, como la enorme cantidad de recursos que consumen, la adaptación de los modelos a necesidades específicas, la poca explicabilidad de sus resultados y la posibilidad de incluir sesgo e información incorrecta en las respuestas".</w:t>
            </w:r>
          </w:p>
          <w:p>
            <w:pPr>
              <w:ind w:left="-284" w:right="-427"/>
              <w:jc w:val="both"/>
              <w:rPr>
                <w:rFonts/>
                <w:color w:val="262626" w:themeColor="text1" w:themeTint="D9"/>
              </w:rPr>
            </w:pPr>
            <w:r>
              <w:t>El año de la IA Generativa en la industriaSegún el director científico del Área Industrial de Eurecat, Ricard Jiménez, durante el próximo año "la IA Generativa también irá ganando terreno en el mundo de la manufactura y se posicionará en prácticamente todos los eslabones de las cadenas de suministro de muchos sectores, con el objetivo principal de optimizarlas, para mejorar eficiencia, incrementar calidad, reducir costes, acelerar procesos o reducir riesgos".</w:t>
            </w:r>
          </w:p>
          <w:p>
            <w:pPr>
              <w:ind w:left="-284" w:right="-427"/>
              <w:jc w:val="both"/>
              <w:rPr>
                <w:rFonts/>
                <w:color w:val="262626" w:themeColor="text1" w:themeTint="D9"/>
              </w:rPr>
            </w:pPr>
            <w:r>
              <w:t>De acuerdo con su visión, "esta tendencia se abrirá a todos los sectores donde exista diseño de producto, donde los softwares de diseño generativo podrán volcar grandes cantidades de propuestas de diseño cumpliendo los requerimientos preestablecidos por el usuario".</w:t>
            </w:r>
          </w:p>
          <w:p>
            <w:pPr>
              <w:ind w:left="-284" w:right="-427"/>
              <w:jc w:val="both"/>
              <w:rPr>
                <w:rFonts/>
                <w:color w:val="262626" w:themeColor="text1" w:themeTint="D9"/>
              </w:rPr>
            </w:pPr>
            <w:r>
              <w:t>La Inteligencia Artificial Generativa, protagonista también en el sector de la saludEn palabras del director científico del Área de Biotecnología de Eurecat, Francesc Puiggròs, "se percibe que la explosión del potencial de la Inteligencia Artificial Generativa será protagonista también en el sector de la salud".</w:t>
            </w:r>
          </w:p>
          <w:p>
            <w:pPr>
              <w:ind w:left="-284" w:right="-427"/>
              <w:jc w:val="both"/>
              <w:rPr>
                <w:rFonts/>
                <w:color w:val="262626" w:themeColor="text1" w:themeTint="D9"/>
              </w:rPr>
            </w:pPr>
            <w:r>
              <w:t>En paralelo al establecimiento de las bases del marco normativo para su uso, la capacidad de esta tecnología "para ir más allá del uso de algoritmos definidos y patrones existentes, y poder utilizar redes neuronales de aprendizaje automático para generar un contenido que simula la creatividad humana, será clave para aplicar las Big Data del sector salud, interpretar ingentes cantidades de datos biológicos y acelerar la innovación" en este ámbito.</w:t>
            </w:r>
          </w:p>
          <w:p>
            <w:pPr>
              <w:ind w:left="-284" w:right="-427"/>
              <w:jc w:val="both"/>
              <w:rPr>
                <w:rFonts/>
                <w:color w:val="262626" w:themeColor="text1" w:themeTint="D9"/>
              </w:rPr>
            </w:pPr>
            <w:r>
              <w:t>Circularidad de los metales en los ciclos urbanos e industrialesDesde el punto de vista medioambiental, la circularidad de las aleaciones metálicas en los ciclos urbanos e industriales será una tendencia clave durante 2024, en un contexto donde "globalmente nos enfrentamos a retos significativos, como el cambio climático, la descarbonización y el aseguramiento de acceso a fuentes de energía y agua seguras, así como a la disponibilidad de recursos críticos", indica el director científico del Área de Sostenibilidad de Eurecat, Joan de Pablo.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 Mascaró </w:t>
      </w:r>
    </w:p>
    <w:p w:rsidR="00C31F72" w:rsidRDefault="00C31F72" w:rsidP="00AB63FE">
      <w:pPr>
        <w:pStyle w:val="Sinespaciado"/>
        <w:spacing w:line="276" w:lineRule="auto"/>
        <w:ind w:left="-284"/>
        <w:rPr>
          <w:rFonts w:ascii="Arial" w:hAnsi="Arial" w:cs="Arial"/>
        </w:rPr>
      </w:pPr>
      <w:r>
        <w:rPr>
          <w:rFonts w:ascii="Arial" w:hAnsi="Arial" w:cs="Arial"/>
        </w:rPr>
        <w:t>Prensa Eurecat</w:t>
      </w:r>
    </w:p>
    <w:p w:rsidR="00AB63FE" w:rsidRDefault="00C31F72" w:rsidP="00AB63FE">
      <w:pPr>
        <w:pStyle w:val="Sinespaciado"/>
        <w:spacing w:line="276" w:lineRule="auto"/>
        <w:ind w:left="-284"/>
        <w:rPr>
          <w:rFonts w:ascii="Arial" w:hAnsi="Arial" w:cs="Arial"/>
        </w:rPr>
      </w:pPr>
      <w:r>
        <w:rPr>
          <w:rFonts w:ascii="Arial" w:hAnsi="Arial" w:cs="Arial"/>
        </w:rPr>
        <w:t>630 425 169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https://www.notasdeprensa.es/eurecat-apunta-a-la-inteligencia-artificial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