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incrementa un 19,5% su cuota de atún rojo para 2016 con más de 3.500 toneladas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mantienen los incrementos anuales previstos en 2014 para el periodo 2015-2017 | La nueva recomendación sobre túnidos tropicales permitirá garantizar la sostenibilidad de las pesquerías de patudo y otras especies a las flotas artesanales e industriales de España | Se ha aprobado una propuesta de la UE para el establecimiento de reglas de control de capturas de atún blanco del Atlántico Norte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director general de Recursos Pesqueros del Ministerio de Agricultura, Alimentación y Medio Ambiente, Jose Miguel Corvinos,  ha participado en la 24ª Reunión ordinaria de la Comisión Internacional para la Conservación del Atún Atlántico (ICCAT) que se ha celebrado en Malta, en la que España ha incrementado su cuota en un 19,5% para 2016, y dispondrá de un total de 3.524 toneladas.</w:t>
            </w:r>
          </w:p>
          <w:p>
            <w:pPr>
              <w:ind w:left="-284" w:right="-427"/>
              <w:jc w:val="both"/>
              <w:rPr>
                <w:rFonts/>
                <w:color w:val="262626" w:themeColor="text1" w:themeTint="D9"/>
              </w:rPr>
            </w:pPr>
            <w:r>
              <w:t>	La reunión anual no ha considerado, por tanto,  ninguna modificación del TAC del atún rojo del Atlántico Este y Mediterráneo, a pesar de la buena situación del stock, manteniéndose los incrementos anuales para el trienio 2015 – 2017, aprobados en 2014.</w:t>
            </w:r>
          </w:p>
          <w:p>
            <w:pPr>
              <w:ind w:left="-284" w:right="-427"/>
              <w:jc w:val="both"/>
              <w:rPr>
                <w:rFonts/>
                <w:color w:val="262626" w:themeColor="text1" w:themeTint="D9"/>
              </w:rPr>
            </w:pPr>
            <w:r>
              <w:t>	En la reunión se ha adoptado un plan de trabajo para que el comité científico realice una actualización de la evaluación del stock en 2016, en base a la actualización de los datos de capturas y de índices de abundancia, lo que proporcionaría un mejor asesoramiento. Esta actualización es muy importante porque va a permitir que en 2016 sea discutido de nuevo el nivel de TAC, lo que supondrá, una vez más, la oportunidad de incrementar las posibilidades de pesca para esta especie.</w:t>
            </w:r>
          </w:p>
          <w:p>
            <w:pPr>
              <w:ind w:left="-284" w:right="-427"/>
              <w:jc w:val="both"/>
              <w:rPr>
                <w:rFonts/>
                <w:color w:val="262626" w:themeColor="text1" w:themeTint="D9"/>
              </w:rPr>
            </w:pPr>
            <w:r>
              <w:t>	También es relevante el establecimiento de la obligación del empleo del documento de capturas electrónico de atún rojo a partir del 1 de mayo de 2016, en sustitución del documento en formato papel. Esta nueva situación constituye otro importante avance en el control, reforzando las estrictas medidas de seguimiento de esta pesquería y su trazabilidad.</w:t>
            </w:r>
          </w:p>
          <w:p>
            <w:pPr>
              <w:ind w:left="-284" w:right="-427"/>
              <w:jc w:val="both"/>
              <w:rPr>
                <w:rFonts/>
                <w:color w:val="262626" w:themeColor="text1" w:themeTint="D9"/>
              </w:rPr>
            </w:pPr>
            <w:r>
              <w:t>	Los miembros de ICCAT han mostrado su preocupación ante la asignación de Gibraltar de una cuota de 10 toneladas de atún rojo para 2015. Se ha puesto de manifiesto que esta asignación estaba al margen de la legalidad de ICCAT y del TAC establecido, lo que podría suponer un riesgo en la recuperación del stock y situar a Gibraltar como responsable de actividades IUU.</w:t>
            </w:r>
          </w:p>
          <w:p>
            <w:pPr>
              <w:ind w:left="-284" w:right="-427"/>
              <w:jc w:val="both"/>
              <w:rPr>
                <w:rFonts/>
                <w:color w:val="262626" w:themeColor="text1" w:themeTint="D9"/>
              </w:rPr>
            </w:pPr>
            <w:r>
              <w:t>	Por este motivo, se va a enviar una carta a los gobiernos de Reino Unido y Gibraltar, solicitando información sobre las capturas de atún rojo y buques involucrados en esta pesquería, con el objeto de poder determinar las medidas necesarias para revertir esta situación.</w:t>
            </w:r>
          </w:p>
          <w:p>
            <w:pPr>
              <w:ind w:left="-284" w:right="-427"/>
              <w:jc w:val="both"/>
              <w:rPr>
                <w:rFonts/>
                <w:color w:val="262626" w:themeColor="text1" w:themeTint="D9"/>
              </w:rPr>
            </w:pPr>
            <w:r>
              <w:t>	Por lo que se refiere a la decisión de Turquía de auto asignarse una cuota superior a la que le corresponde, a pesar de que desde el punto de vista de la ICCAT eso es posible, la Comisión consideró que no se podía validar el plan de pesca propuesto, lo que supone un serio hándicap para que Turquía pueda comercializar esas capturas adicionales. Es de esperar que estas medidas hagan recapacitar a las autoridades turcas para que vuelvan a la cuota que les corresponde.</w:t>
            </w:r>
          </w:p>
          <w:p>
            <w:pPr>
              <w:ind w:left="-284" w:right="-427"/>
              <w:jc w:val="both"/>
              <w:rPr>
                <w:rFonts/>
                <w:color w:val="262626" w:themeColor="text1" w:themeTint="D9"/>
              </w:rPr>
            </w:pPr>
            <w:r>
              <w:t>	Stick de Patudo</w:t>
            </w:r>
          </w:p>
          <w:p>
            <w:pPr>
              <w:ind w:left="-284" w:right="-427"/>
              <w:jc w:val="both"/>
              <w:rPr>
                <w:rFonts/>
                <w:color w:val="262626" w:themeColor="text1" w:themeTint="D9"/>
              </w:rPr>
            </w:pPr>
            <w:r>
              <w:t>	Los miembros de ICCAT, en base a la evaluación de su comité científico, que mostró un stock de patudo probablemente sobreexplotado, aunque no en riesgo de colapso, han aprobado medidas de recuperación de esta pesquería.</w:t>
            </w:r>
          </w:p>
          <w:p>
            <w:pPr>
              <w:ind w:left="-284" w:right="-427"/>
              <w:jc w:val="both"/>
              <w:rPr>
                <w:rFonts/>
                <w:color w:val="262626" w:themeColor="text1" w:themeTint="D9"/>
              </w:rPr>
            </w:pPr>
            <w:r>
              <w:t>	Así, se ha aprobado una reducción de los topes autorizados de capturas (TACs) de patudo de 85.000 toneladas a 65.000 toneladas, la expansión del área de la zona de veda a la pesca con objetos (FADs) en el golfo de Guinea durante los meses de enero y febrero, así como la limitación a un máximo de 500 FADs por buque para la flota atunera congeladora de cerco.</w:t>
            </w:r>
          </w:p>
          <w:p>
            <w:pPr>
              <w:ind w:left="-284" w:right="-427"/>
              <w:jc w:val="both"/>
              <w:rPr>
                <w:rFonts/>
                <w:color w:val="262626" w:themeColor="text1" w:themeTint="D9"/>
              </w:rPr>
            </w:pPr>
            <w:r>
              <w:t>	España ha apoyado el establecimiento de estas medidas, que garantizarán a medio y largo plazo la sostenibilidad de las pesquerías de túnidos tropicales en el Océano Atlántico. La cuota anual asignada a la UE alcanzaría unas 17.000 toneladas, de las que casi 9.000 corresponderán a España. Estas cuotas se podrán incrementar hasta un 15% con los remanentes de cuota no utilizada en las campañas precedentes.</w:t>
            </w:r>
          </w:p>
          <w:p>
            <w:pPr>
              <w:ind w:left="-284" w:right="-427"/>
              <w:jc w:val="both"/>
              <w:rPr>
                <w:rFonts/>
                <w:color w:val="262626" w:themeColor="text1" w:themeTint="D9"/>
              </w:rPr>
            </w:pPr>
            <w:r>
              <w:t>	Cabe destacar que, en base a estas cifras de capturas, se salvaguarda la actividad de las flotas artesanales que capturan esta especie, en especial la flota de cañas y cebo vivo canaria.</w:t>
            </w:r>
          </w:p>
          <w:p>
            <w:pPr>
              <w:ind w:left="-284" w:right="-427"/>
              <w:jc w:val="both"/>
              <w:rPr>
                <w:rFonts/>
                <w:color w:val="262626" w:themeColor="text1" w:themeTint="D9"/>
              </w:rPr>
            </w:pPr>
            <w:r>
              <w:t>	Atún Blanco del Atlántico Norte</w:t>
            </w:r>
          </w:p>
          <w:p>
            <w:pPr>
              <w:ind w:left="-284" w:right="-427"/>
              <w:jc w:val="both"/>
              <w:rPr>
                <w:rFonts/>
                <w:color w:val="262626" w:themeColor="text1" w:themeTint="D9"/>
              </w:rPr>
            </w:pPr>
            <w:r>
              <w:t>	En relación al atún blanco del Atlántico norte, se ha aprobado una propuesta de la UE para el establecimiento de reglas de control de capturas. La propuesta, que establece un calendario de aplicación  en 2016 y 2017, supone un éxito al garantizar que, la certificación de sostenibilidad en la que está inmersa la flota española, tenga un soporte mas solido y permita diferenciar nuestro “bonito del norte” como plenamente sostenible en los mercados europeos.</w:t>
            </w:r>
          </w:p>
          <w:p>
            <w:pPr>
              <w:ind w:left="-284" w:right="-427"/>
              <w:jc w:val="both"/>
              <w:rPr>
                <w:rFonts/>
                <w:color w:val="262626" w:themeColor="text1" w:themeTint="D9"/>
              </w:rPr>
            </w:pPr>
            <w:r>
              <w:t>	Pesquería de tiburones</w:t>
            </w:r>
          </w:p>
          <w:p>
            <w:pPr>
              <w:ind w:left="-284" w:right="-427"/>
              <w:jc w:val="both"/>
              <w:rPr>
                <w:rFonts/>
                <w:color w:val="262626" w:themeColor="text1" w:themeTint="D9"/>
              </w:rPr>
            </w:pPr>
            <w:r>
              <w:t>	Se han rechazado las propuestas presentadas por la Unión Europea para la regulación de las pesquerías de los tiburones marrajo dientuso y tintorera. El comité científico ha evaluado los stocks de esta última especie en 2016, mostrando que su biomasa se encuentra en niveles elevados y la explotación del stock se encuentra muy por debajo de su potencial.</w:t>
            </w:r>
          </w:p>
          <w:p>
            <w:pPr>
              <w:ind w:left="-284" w:right="-427"/>
              <w:jc w:val="both"/>
              <w:rPr>
                <w:rFonts/>
                <w:color w:val="262626" w:themeColor="text1" w:themeTint="D9"/>
              </w:rPr>
            </w:pPr>
            <w:r>
              <w:t>	A este respecto, España ha sido partidaria, desde el inicio de la reunión anual, de establecer límites precautorios de capturas, lo que serviría para reforzar los esfuerzos que están realizando el sector para la certificación de la sostenibilidad de las pesquerías de pez espada y tiburones en el océano Atlántico. Lamentablemente, la falta de consenso entre las delegaciones han impedido que esta medida sea aprobada, lo que deja una vez más a los tiburones sin una regulación clara a largo plazo.</w:t>
            </w:r>
          </w:p>
          <w:p>
            <w:pPr>
              <w:ind w:left="-284" w:right="-427"/>
              <w:jc w:val="both"/>
              <w:rPr>
                <w:rFonts/>
                <w:color w:val="262626" w:themeColor="text1" w:themeTint="D9"/>
              </w:rPr>
            </w:pPr>
            <w:r>
              <w:t>	España lamenta que, ICCAT haya rechazado un año más la extensión, en el ámbito de la Comisión, de la política de aletas adheridas al cuerpo del tiburón. Desde la Secretaría General de Pesca, se continuará trabajando con las organizaciones representativas del sector de palangre de superficie para buscar soluciones alternativas a una situación de agravio comparativo de  la flota comunitaria respecto a otras flotas.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https://www.notasdeprensa.es/espana-incrementa-un-195-su-cuota-de-atun-rojo_1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