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expone las singularidades de la gestión sostenible del agua en entornos de escasez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cooperación transfronteriza entre España y Portugal es puesta como ejemplo de éxito en la gestión de ríos transfronterizos</w:t>
            </w:r>
          </w:p>
          <w:p>
            <w:pPr>
              <w:ind w:left="-284" w:right="-427"/>
              <w:jc w:val="both"/>
              <w:rPr>
                <w:rFonts/>
                <w:color w:val="262626" w:themeColor="text1" w:themeTint="D9"/>
              </w:rPr>
            </w:pPr>
            <w:r>
              <w:t>	Se presenta en el “Espacio España” la publicación El sistema español de gobernanza del agua</w:t>
            </w:r>
          </w:p>
          <w:p>
            <w:pPr>
              <w:ind w:left="-284" w:right="-427"/>
              <w:jc w:val="both"/>
              <w:rPr>
                <w:rFonts/>
                <w:color w:val="262626" w:themeColor="text1" w:themeTint="D9"/>
              </w:rPr>
            </w:pPr>
            <w:r>
              <w:t>	El Ministerio de Agricultura, Alimentación y Medio Ambiente, presente en el Foro Mundial del Agua que acoge estos días Corea del Sur, ha expuesto hoy en la sesión de Directores del Agua de la Unión Europea –con la que se ha cerrado el proceso regional europeo– las singularidades de la adaptación al cambio climático que presenta la gestión del agua en entornos de escasez.</w:t>
            </w:r>
          </w:p>
          <w:p>
            <w:pPr>
              <w:ind w:left="-284" w:right="-427"/>
              <w:jc w:val="both"/>
              <w:rPr>
                <w:rFonts/>
                <w:color w:val="262626" w:themeColor="text1" w:themeTint="D9"/>
              </w:rPr>
            </w:pPr>
            <w:r>
              <w:t>	La delegación española ha abogado por la planificación hidrológica por cuencas como la mejor fórmula para buscar un equilibrio entre la atención de las demandas y la protección del medio ambiente.</w:t>
            </w:r>
          </w:p>
          <w:p>
            <w:pPr>
              <w:ind w:left="-284" w:right="-427"/>
              <w:jc w:val="both"/>
              <w:rPr>
                <w:rFonts/>
                <w:color w:val="262626" w:themeColor="text1" w:themeTint="D9"/>
              </w:rPr>
            </w:pPr>
            <w:r>
              <w:t>	 Durante los debates temáticos sobre derecho internacional en materia de agua celebrados en el marco del Foro, además, se ha presentado el Convenio de Albufeira –por el cual se regula la gestión de los ríos que comparten España y Portugal– como ejemplo de éxito en la aplicación de las convenciones de Naciones Unidas sobre cooperación transfronteriza en materia de agua.</w:t>
            </w:r>
          </w:p>
          <w:p>
            <w:pPr>
              <w:ind w:left="-284" w:right="-427"/>
              <w:jc w:val="both"/>
              <w:rPr>
                <w:rFonts/>
                <w:color w:val="262626" w:themeColor="text1" w:themeTint="D9"/>
              </w:rPr>
            </w:pPr>
            <w:r>
              <w:t>	 Por otro lado, en el marco de las actividades desarrolladas por la delegación española y en un acto orientado a la promoción de la Marca Agua España, el jefe de la delegación española, acompañado del presidente del Consejo Mundial de Ingenieros Civiles y del vicepresidente del Comité Internacional de Grandes Presas, ha presentado en el “Espacio España” la publicación El sistema español de gobernanza del agua.</w:t>
            </w:r>
          </w:p>
          <w:p>
            <w:pPr>
              <w:ind w:left="-284" w:right="-427"/>
              <w:jc w:val="both"/>
              <w:rPr>
                <w:rFonts/>
                <w:color w:val="262626" w:themeColor="text1" w:themeTint="D9"/>
              </w:rPr>
            </w:pPr>
            <w:r>
              <w:t>	 ESPAÑA ANTE EL RETO DE LA SEGURIDAD HÍDRICA</w:t>
            </w:r>
          </w:p>
          <w:p>
            <w:pPr>
              <w:ind w:left="-284" w:right="-427"/>
              <w:jc w:val="both"/>
              <w:rPr>
                <w:rFonts/>
                <w:color w:val="262626" w:themeColor="text1" w:themeTint="D9"/>
              </w:rPr>
            </w:pPr>
            <w:r>
              <w:t>	Este acto, que ha contado con la participación de toda la delegación española, incluyendo las asociaciones y empresas del sector del agua, ha servido para dar visibilidad a las capacidades de la Administración española y de las empresas del sector para proporcionar soluciones eficaces y sostenibles con las que dar respuesta al reto de la seguridad hídrica.</w:t>
            </w:r>
          </w:p>
          <w:p>
            <w:pPr>
              <w:ind w:left="-284" w:right="-427"/>
              <w:jc w:val="both"/>
              <w:rPr>
                <w:rFonts/>
                <w:color w:val="262626" w:themeColor="text1" w:themeTint="D9"/>
              </w:rPr>
            </w:pPr>
            <w:r>
              <w:t>	 Al margen del segmento político y de los actos paralelos, la delegación española ha participado también en las siguientes actividades:</w:t>
            </w:r>
          </w:p>
          <w:p>
            <w:pPr>
              <w:ind w:left="-284" w:right="-427"/>
              <w:jc w:val="both"/>
              <w:rPr>
                <w:rFonts/>
                <w:color w:val="262626" w:themeColor="text1" w:themeTint="D9"/>
              </w:rPr>
            </w:pPr>
            <w:r>
              <w:t>	 Procesos regionales:</w:t>
            </w:r>
          </w:p>
          <w:p>
            <w:pPr>
              <w:ind w:left="-284" w:right="-427"/>
              <w:jc w:val="both"/>
              <w:rPr>
                <w:rFonts/>
                <w:color w:val="262626" w:themeColor="text1" w:themeTint="D9"/>
              </w:rPr>
            </w:pPr>
            <w:r>
              <w:t>	-Región Europea: Sesión final región Europa. Recomendaciones para la gestión del agua en Europa en la que ha participado el Ministerio de Agricultura, Alimentación y Medio Ambiente.</w:t>
            </w:r>
          </w:p>
          <w:p>
            <w:pPr>
              <w:ind w:left="-284" w:right="-427"/>
              <w:jc w:val="both"/>
              <w:rPr>
                <w:rFonts/>
                <w:color w:val="262626" w:themeColor="text1" w:themeTint="D9"/>
              </w:rPr>
            </w:pPr>
            <w:r>
              <w:t>	 -Región Mediterránea: Saneamiento para todos. Dónde estamos y qué es lo próximo para conseguir agua y saneamiento para todos.</w:t>
            </w:r>
          </w:p>
          <w:p>
            <w:pPr>
              <w:ind w:left="-284" w:right="-427"/>
              <w:jc w:val="both"/>
              <w:rPr>
                <w:rFonts/>
                <w:color w:val="262626" w:themeColor="text1" w:themeTint="D9"/>
              </w:rPr>
            </w:pPr>
            <w:r>
              <w:t>	 Sesiones temáticas:</w:t>
            </w:r>
          </w:p>
          <w:p>
            <w:pPr>
              <w:ind w:left="-284" w:right="-427"/>
              <w:jc w:val="both"/>
              <w:rPr>
                <w:rFonts/>
                <w:color w:val="262626" w:themeColor="text1" w:themeTint="D9"/>
              </w:rPr>
            </w:pPr>
            <w:r>
              <w:t>	-Gobernanza efectiva: Fortaleciendo la gobernanza de cuencas para la gestión eficiente de recursos hídricos a escala relevante.</w:t>
            </w:r>
          </w:p>
          <w:p>
            <w:pPr>
              <w:ind w:left="-284" w:right="-427"/>
              <w:jc w:val="both"/>
              <w:rPr>
                <w:rFonts/>
                <w:color w:val="262626" w:themeColor="text1" w:themeTint="D9"/>
              </w:rPr>
            </w:pPr>
            <w:r>
              <w:t>	 -Adaptación al cambio para un uso sostenible del agua en la agricultura.</w:t>
            </w:r>
          </w:p>
          <w:p>
            <w:pPr>
              <w:ind w:left="-284" w:right="-427"/>
              <w:jc w:val="both"/>
              <w:rPr>
                <w:rFonts/>
                <w:color w:val="262626" w:themeColor="text1" w:themeTint="D9"/>
              </w:rPr>
            </w:pPr>
            <w:r>
              <w:t>	 -Agua transfronteriza: Las leyes internacionales del agua desmitificadas. Participación del Ministerio y asistencia del jefe de la delegación.</w:t>
            </w:r>
          </w:p>
          <w:p>
            <w:pPr>
              <w:ind w:left="-284" w:right="-427"/>
              <w:jc w:val="both"/>
              <w:rPr>
                <w:rFonts/>
                <w:color w:val="262626" w:themeColor="text1" w:themeTint="D9"/>
              </w:rPr>
            </w:pPr>
            <w:r>
              <w:t>	 -Gobernanza efectiva: Medir lo que cuenta, conseguir los indicadores adecuados para una mejor gobernanza del agua.</w:t>
            </w:r>
          </w:p>
          <w:p>
            <w:pPr>
              <w:ind w:left="-284" w:right="-427"/>
              <w:jc w:val="both"/>
              <w:rPr>
                <w:rFonts/>
                <w:color w:val="262626" w:themeColor="text1" w:themeTint="D9"/>
              </w:rPr>
            </w:pPr>
            <w:r>
              <w:t>	 -Agua para los alimentos: Modernización de los sistemas de regadío y drenaje para la seguridad alimentaria, la prosperidad rural y el alivio de la pobreza.</w:t>
            </w:r>
          </w:p>
          <w:p>
            <w:pPr>
              <w:ind w:left="-284" w:right="-427"/>
              <w:jc w:val="both"/>
              <w:rPr>
                <w:rFonts/>
                <w:color w:val="262626" w:themeColor="text1" w:themeTint="D9"/>
              </w:rPr>
            </w:pPr>
            <w:r>
              <w:t>	 -Calidad del agua: Un uso más racional para la seguridad del agua.</w:t>
            </w:r>
          </w:p>
          <w:p>
            <w:pPr>
              <w:ind w:left="-284" w:right="-427"/>
              <w:jc w:val="both"/>
              <w:rPr>
                <w:rFonts/>
                <w:color w:val="262626" w:themeColor="text1" w:themeTint="D9"/>
              </w:rPr>
            </w:pPr>
            <w:r>
              <w:t>	 Sesiones científicas y tecnológicas:</w:t>
            </w:r>
          </w:p>
          <w:p>
            <w:pPr>
              <w:ind w:left="-284" w:right="-427"/>
              <w:jc w:val="both"/>
              <w:rPr>
                <w:rFonts/>
                <w:color w:val="262626" w:themeColor="text1" w:themeTint="D9"/>
              </w:rPr>
            </w:pPr>
            <w:r>
              <w:t>	-La reducción de daños por inundaciones en zonas urbanas mediante la mejora de la predicción de inundaciones.</w:t>
            </w:r>
          </w:p>
          <w:p>
            <w:pPr>
              <w:ind w:left="-284" w:right="-427"/>
              <w:jc w:val="both"/>
              <w:rPr>
                <w:rFonts/>
                <w:color w:val="262626" w:themeColor="text1" w:themeTint="D9"/>
              </w:rPr>
            </w:pPr>
            <w:r>
              <w:t>	 -Recuperación y eficiencia energética en los sistemas de agua y saneamiento.</w:t>
            </w:r>
          </w:p>
          <w:p>
            <w:pPr>
              <w:ind w:left="-284" w:right="-427"/>
              <w:jc w:val="both"/>
              <w:rPr>
                <w:rFonts/>
                <w:color w:val="262626" w:themeColor="text1" w:themeTint="D9"/>
              </w:rPr>
            </w:pPr>
            <w:r>
              <w:t>	 -Gestión eficiente del agua más allá de 2015.</w:t>
            </w:r>
          </w:p>
          <w:p>
            <w:pPr>
              <w:ind w:left="-284" w:right="-427"/>
              <w:jc w:val="both"/>
              <w:rPr>
                <w:rFonts/>
                <w:color w:val="262626" w:themeColor="text1" w:themeTint="D9"/>
              </w:rPr>
            </w:pPr>
            <w:r>
              <w:t>	 Eventos paralelos:</w:t>
            </w:r>
          </w:p>
          <w:p>
            <w:pPr>
              <w:ind w:left="-284" w:right="-427"/>
              <w:jc w:val="both"/>
              <w:rPr>
                <w:rFonts/>
                <w:color w:val="262626" w:themeColor="text1" w:themeTint="D9"/>
              </w:rPr>
            </w:pPr>
            <w:r>
              <w:t>	-Lecciones aprendidas y buenas prácticas para la adaptación al cambio climático en cuencas transfronterizas y la recuperación de sistemas acuáticos.</w:t>
            </w:r>
          </w:p>
          <w:p>
            <w:pPr>
              <w:ind w:left="-284" w:right="-427"/>
              <w:jc w:val="both"/>
              <w:rPr>
                <w:rFonts/>
                <w:color w:val="262626" w:themeColor="text1" w:themeTint="D9"/>
              </w:rPr>
            </w:pPr>
            <w:r>
              <w:t>	 -Gestión comunal del agua para la coherencia y la resistencia.</w:t>
            </w:r>
          </w:p>
          <w:p>
            <w:pPr>
              <w:ind w:left="-284" w:right="-427"/>
              <w:jc w:val="both"/>
              <w:rPr>
                <w:rFonts/>
                <w:color w:val="262626" w:themeColor="text1" w:themeTint="D9"/>
              </w:rPr>
            </w:pPr>
            <w:r>
              <w:t>	 Actividades Stand de España:</w:t>
            </w:r>
          </w:p>
          <w:p>
            <w:pPr>
              <w:ind w:left="-284" w:right="-427"/>
              <w:jc w:val="both"/>
              <w:rPr>
                <w:rFonts/>
                <w:color w:val="262626" w:themeColor="text1" w:themeTint="D9"/>
              </w:rPr>
            </w:pPr>
            <w:r>
              <w:t>	-Propuesta INCLAM: Una combinación de sistemas de información y modelos para la predicción de avenidas y la optimización de respuestas.</w:t>
            </w:r>
          </w:p>
          <w:p>
            <w:pPr>
              <w:ind w:left="-284" w:right="-427"/>
              <w:jc w:val="both"/>
              <w:rPr>
                <w:rFonts/>
                <w:color w:val="262626" w:themeColor="text1" w:themeTint="D9"/>
              </w:rPr>
            </w:pPr>
            <w:r>
              <w:t>	 -Propuesta INCLAM: WatERP/WatEnergy: Inteligencia artificial para la gestión del agua.</w:t>
            </w:r>
          </w:p>
          <w:p>
            <w:pPr>
              <w:ind w:left="-284" w:right="-427"/>
              <w:jc w:val="both"/>
              <w:rPr>
                <w:rFonts/>
                <w:color w:val="262626" w:themeColor="text1" w:themeTint="D9"/>
              </w:rPr>
            </w:pPr>
            <w:r>
              <w:t>	 -Propuesta TECNIBERIA: Presentación de la publicación “Elementos en la Política del agua”.</w:t>
            </w:r>
          </w:p>
          <w:p>
            <w:pPr>
              <w:ind w:left="-284" w:right="-427"/>
              <w:jc w:val="both"/>
              <w:rPr>
                <w:rFonts/>
                <w:color w:val="262626" w:themeColor="text1" w:themeTint="D9"/>
              </w:rPr>
            </w:pPr>
            <w:r>
              <w:t>	 -Presentación del catálogo de fichas GTI.</w:t>
            </w:r>
          </w:p>
          <w:p>
            <w:pPr>
              <w:ind w:left="-284" w:right="-427"/>
              <w:jc w:val="both"/>
              <w:rPr>
                <w:rFonts/>
                <w:color w:val="262626" w:themeColor="text1" w:themeTint="D9"/>
              </w:rPr>
            </w:pPr>
            <w:r>
              <w:t>	 -Presentación de TYPSA sobre su experiencia en el plan de sequías del Duero, inscrito en el Plan de Actuaciones contra la Sequía (P.E.S.) del Ministerio.</w:t>
            </w:r>
          </w:p>
          <w:p>
            <w:pPr>
              <w:ind w:left="-284" w:right="-427"/>
              <w:jc w:val="both"/>
              <w:rPr>
                <w:rFonts/>
                <w:color w:val="262626" w:themeColor="text1" w:themeTint="D9"/>
              </w:rPr>
            </w:pPr>
            <w:r>
              <w:t>	 -Propuesta INCLAM: Estero de Paco, rehabilitación del peor río del mundo, un caso de éxito en Manila.</w:t>
            </w:r>
          </w:p>
          <w:p>
            <w:pPr>
              <w:ind w:left="-284" w:right="-427"/>
              <w:jc w:val="both"/>
              <w:rPr>
                <w:rFonts/>
                <w:color w:val="262626" w:themeColor="text1" w:themeTint="D9"/>
              </w:rPr>
            </w:pPr>
            <w:r>
              <w:t>	 -Gobernanza y gestión integrada de recursos hídricos en entornos de escasez.</w:t>
            </w:r>
          </w:p>
          <w:p>
            <w:pPr>
              <w:ind w:left="-284" w:right="-427"/>
              <w:jc w:val="both"/>
              <w:rPr>
                <w:rFonts/>
                <w:color w:val="262626" w:themeColor="text1" w:themeTint="D9"/>
              </w:rPr>
            </w:pPr>
            <w:r>
              <w:t>	 -Reuniones informativas entre empresas y entidades.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https://www.notasdeprensa.es/espana-expone-las-singularidades-de-la-gestion_1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