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Andalucía el 25/10/2024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ESCP Business School, Prosci y Anova lanzan el Programa Executive en Transformación Digital para PYMES en la Comunidad Autónoma de Andalucía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ESCP Business School junto con Prosci y Anova,  lanzan el Programa Executive en Transformación Digital Generación Digital PYMES, que tiene como objetivo capacitar a los directivos de pequeñas y medianas empresas en la Comunidad Autónoma de Andalucía para liderar la transformación digital en sus organizaciones. Este programa ofrece un total de 136 horas de formación que incluye 121 horas online, 15 horas presenciales y 10 horas de mentoría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ESCP Business School junto con Prosci y Anova,  lanzan el Programa Executive en Transformación Digital Generación Digital PYMES, que tiene como objetivo capacitar a los directivos de pequeñas y medianas empresas en la Comunidad Autónoma de Andalucía para liderar la transformación digital en sus organizaciones. Este programa ofrece un total de 136 horas de formación que incluye 121 horas online, 15 horas presenciales y 10 horas de mentoría.</w:t></w:r></w:p><w:p><w:pPr><w:ind w:left="-284" w:right="-427"/>	<w:jc w:val="both"/><w:rPr><w:rFonts/><w:color w:val="262626" w:themeColor="text1" w:themeTint="D9"/></w:rPr></w:pPr><w:r><w:t>ESCP Business School Madrid y Andalucía Marca Digital han firmado un convenio de colaboración para la difusión del programa "Generación Digital PYMES: personas de equipos directivos y cualificación de personas empleadas en PYMES", en el contexto del Plan de Recuperación, Transformación y Resiliencia.</w:t></w:r></w:p><w:p><w:pPr><w:ind w:left="-284" w:right="-427"/>	<w:jc w:val="both"/><w:rPr><w:rFonts/><w:color w:val="262626" w:themeColor="text1" w:themeTint="D9"/></w:rPr></w:pPr><w:r><w:t>Los participantes recibirán un Certificado de "Executive en Transformación Digital" por parte de ESCP Business School y un certificado en "Prosci Change Leader" por PROSCI. Además, el programa, valorado en 12.000 €, es totalmente gratuito gracias a la subvención de los fondos Next Generation EU.</w:t></w:r></w:p><w:p><w:pPr><w:ind w:left="-284" w:right="-427"/>	<w:jc w:val="both"/><w:rPr><w:rFonts/><w:color w:val="262626" w:themeColor="text1" w:themeTint="D9"/></w:rPr></w:pPr><w:r><w:t>Características del Programa:</w:t></w:r></w:p>	<w:p><w:pPr><w:ind w:left="-284" w:right="-427"/>	<w:jc w:val="both"/><w:rPr><w:rFonts/><w:color w:val="262626" w:themeColor="text1" w:themeTint="D9"/></w:rPr></w:pPr><w:r><w:t>Módulos de Formación: 4 módulos generales y 1 módulo específico adaptado a diferentes sectores productivos en España, incluyendo industria, comercio, servicios, turismo, agricultura, construcción, educación y salud.</w:t></w:r></w:p>	<w:p><w:pPr><w:ind w:left="-284" w:right="-427"/>	<w:jc w:val="both"/><w:rPr><w:rFonts/><w:color w:val="262626" w:themeColor="text1" w:themeTint="D9"/></w:rPr></w:pPr><w:r><w:t>Creación de un Plan de Transformación Real: Desarrollo de un plan de transformación específico para cada empresa con el apoyo continuo de los mentores.</w:t></w:r></w:p>	<w:p><w:pPr><w:ind w:left="-284" w:right="-427"/>	<w:jc w:val="both"/><w:rPr><w:rFonts/><w:color w:val="262626" w:themeColor="text1" w:themeTint="D9"/></w:rPr></w:pPr><w:r><w:t>Networking y Colaboración: Oportunidades para el intercambio de experiencias y aprendizaje mutuo entre los directivos participantes.</w:t></w:r></w:p><w:p><w:pPr><w:ind w:left="-284" w:right="-427"/>	<w:jc w:val="both"/><w:rPr><w:rFonts/><w:color w:val="262626" w:themeColor="text1" w:themeTint="D9"/></w:rPr></w:pPr><w:r><w:t>Módulos del Programa:</w:t></w:r></w:p>	<w:p><w:pPr><w:ind w:left="-284" w:right="-427"/>	<w:jc w:val="both"/><w:rPr><w:rFonts/><w:color w:val="262626" w:themeColor="text1" w:themeTint="D9"/></w:rPr></w:pPr><w:r><w:t>La empresa en la economía digital			<w:p><w:pPr><w:ind w:left="-284" w:right="-427"/>	<w:jc w:val="both"/><w:rPr><w:rFonts/><w:color w:val="262626" w:themeColor="text1" w:themeTint="D9"/></w:rPr></w:pPr><w:r><w:t>Contexto digital</w:t></w:r></w:p>		<w:p><w:pPr><w:ind w:left="-284" w:right="-427"/>	<w:jc w:val="both"/><w:rPr><w:rFonts/><w:color w:val="262626" w:themeColor="text1" w:themeTint="D9"/></w:rPr></w:pPr><w:r><w:t>Nuevos modelos de negocio</w:t></w:r></w:p>		<w:p><w:pPr><w:ind w:left="-284" w:right="-427"/>	<w:jc w:val="both"/><w:rPr><w:rFonts/><w:color w:val="262626" w:themeColor="text1" w:themeTint="D9"/></w:rPr></w:pPr><w:r><w:t>Transformación digital en la empresa</w:t></w:r></w:p>		<w:p><w:pPr><w:ind w:left="-284" w:right="-427"/>	<w:jc w:val="both"/><w:rPr><w:rFonts/><w:color w:val="262626" w:themeColor="text1" w:themeTint="D9"/></w:rPr></w:pPr><w:r><w:t>Sostenibilidad y economía circular</w:t></w:r></w:p>		<w:p><w:pPr><w:ind w:left="-284" w:right="-427"/>	<w:jc w:val="both"/><w:rPr><w:rFonts/><w:color w:val="262626" w:themeColor="text1" w:themeTint="D9"/></w:rPr></w:pPr><w:r><w:t>Diagnóstico y Reflexión Estratégica</w:t></w:r></w:p>		</w:t></w:r></w:p>	<w:p><w:pPr><w:ind w:left="-284" w:right="-427"/>	<w:jc w:val="both"/><w:rPr><w:rFonts/><w:color w:val="262626" w:themeColor="text1" w:themeTint="D9"/></w:rPr></w:pPr><w:r><w:t>Transformando la experiencia del cliente			<w:p><w:pPr><w:ind w:left="-284" w:right="-427"/>	<w:jc w:val="both"/><w:rPr><w:rFonts/><w:color w:val="262626" w:themeColor="text1" w:themeTint="D9"/></w:rPr></w:pPr><w:r><w:t>El cliente en la nueva era digital</w:t></w:r></w:p>		<w:p><w:pPr><w:ind w:left="-284" w:right="-427"/>	<w:jc w:val="both"/><w:rPr><w:rFonts/><w:color w:val="262626" w:themeColor="text1" w:themeTint="D9"/></w:rPr></w:pPr><w:r><w:t>Experiencia de cliente y de producto</w:t></w:r></w:p>		<w:p><w:pPr><w:ind w:left="-284" w:right="-427"/>	<w:jc w:val="both"/><w:rPr><w:rFonts/><w:color w:val="262626" w:themeColor="text1" w:themeTint="D9"/></w:rPr></w:pPr><w:r><w:t>Proceso de generación de tráfico</w:t></w:r></w:p>		<w:p><w:pPr><w:ind w:left="-284" w:right="-427"/>	<w:jc w:val="both"/><w:rPr><w:rFonts/><w:color w:val="262626" w:themeColor="text1" w:themeTint="D9"/></w:rPr></w:pPr><w:r><w:t>Captación y fidelización del cliente</w:t></w:r></w:p>		<w:p><w:pPr><w:ind w:left="-284" w:right="-427"/>	<w:jc w:val="both"/><w:rPr><w:rFonts/><w:color w:val="262626" w:themeColor="text1" w:themeTint="D9"/></w:rPr></w:pPr><w:r><w:t>Entorno legal: propiedad y privacidad</w:t></w:r></w:p>		</w:t></w:r></w:p>	<w:p><w:pPr><w:ind w:left="-284" w:right="-427"/>	<w:jc w:val="both"/><w:rPr><w:rFonts/><w:color w:val="262626" w:themeColor="text1" w:themeTint="D9"/></w:rPr></w:pPr><w:r><w:t>Habilitando tecnológicamente la transformación			<w:p><w:pPr><w:ind w:left="-284" w:right="-427"/>	<w:jc w:val="both"/><w:rPr><w:rFonts/><w:color w:val="262626" w:themeColor="text1" w:themeTint="D9"/></w:rPr></w:pPr><w:r><w:t>Analítica digital y big data</w:t></w:r></w:p>		<w:p><w:pPr><w:ind w:left="-284" w:right="-427"/>	<w:jc w:val="both"/><w:rPr><w:rFonts/><w:color w:val="262626" w:themeColor="text1" w:themeTint="D9"/></w:rPr></w:pPr><w:r><w:t>Machine learning e inteligencia artificial</w:t></w:r></w:p>		<w:p><w:pPr><w:ind w:left="-284" w:right="-427"/>	<w:jc w:val="both"/><w:rPr><w:rFonts/><w:color w:val="262626" w:themeColor="text1" w:themeTint="D9"/></w:rPr></w:pPr><w:r><w:t>ERP y CRM</w:t></w:r></w:p>		<w:p><w:pPr><w:ind w:left="-284" w:right="-427"/>	<w:jc w:val="both"/><w:rPr><w:rFonts/><w:color w:val="262626" w:themeColor="text1" w:themeTint="D9"/></w:rPr></w:pPr><w:r><w:t>Ciberseguridad</w:t></w:r></w:p>		<w:p><w:pPr><w:ind w:left="-284" w:right="-427"/>	<w:jc w:val="both"/><w:rPr><w:rFonts/><w:color w:val="262626" w:themeColor="text1" w:themeTint="D9"/></w:rPr></w:pPr><w:r><w:t>Automatización y robotización</w:t></w:r></w:p>		</w:t></w:r></w:p>	<w:p><w:pPr><w:ind w:left="-284" w:right="-427"/>	<w:jc w:val="both"/><w:rPr><w:rFonts/><w:color w:val="262626" w:themeColor="text1" w:themeTint="D9"/></w:rPr></w:pPr><w:r><w:t>Gestionando el cambio			<w:p><w:pPr><w:ind w:left="-284" w:right="-427"/>	<w:jc w:val="both"/><w:rPr><w:rFonts/><w:color w:val="262626" w:themeColor="text1" w:themeTint="D9"/></w:rPr></w:pPr><w:r><w:t>Personas y organización</w:t></w:r></w:p>		<w:p><w:pPr><w:ind w:left="-284" w:right="-427"/>	<w:jc w:val="both"/><w:rPr><w:rFonts/><w:color w:val="262626" w:themeColor="text1" w:themeTint="D9"/></w:rPr></w:pPr><w:r><w:t>Transformación cultural</w:t></w:r></w:p>		<w:p><w:pPr><w:ind w:left="-284" w:right="-427"/>	<w:jc w:val="both"/><w:rPr><w:rFonts/><w:color w:val="262626" w:themeColor="text1" w:themeTint="D9"/></w:rPr></w:pPr><w:r><w:t>Metodologías de innovación/agile</w:t></w:r></w:p>		<w:p><w:pPr><w:ind w:left="-284" w:right="-427"/>	<w:jc w:val="both"/><w:rPr><w:rFonts/><w:color w:val="262626" w:themeColor="text1" w:themeTint="D9"/></w:rPr></w:pPr><w:r><w:t>Plan de Acción</w:t></w:r></w:p>		</w:t></w:r></w:p><w:p><w:pPr><w:ind w:left="-284" w:right="-427"/>	<w:jc w:val="both"/><w:rPr><w:rFonts/><w:color w:val="262626" w:themeColor="text1" w:themeTint="D9"/></w:rPr></w:pPr><w:r><w:t>Los interesados deben ser parte del equipo directivo de una PYME (De entre 0 a 249 empleados) con responsabilidad total o departamental. Se permitirá la participación de un máximo de 2 directivos por empresa. Las plazas están reservadas exclusivamente para la Comunidad Autónoma de Andalucía.</w:t></w:r></w:p><w:p><w:pPr><w:ind w:left="-284" w:right="-427"/>	<w:jc w:val="both"/><w:rPr><w:rFonts/><w:color w:val="262626" w:themeColor="text1" w:themeTint="D9"/></w:rPr></w:pPr><w:r><w:t>Para más información y solicitar una plaza se puede hacer aquí </w:t></w:r></w:p><w:p><w:pPr><w:ind w:left="-284" w:right="-427"/>	<w:jc w:val="both"/><w:rPr><w:rFonts/><w:color w:val="262626" w:themeColor="text1" w:themeTint="D9"/></w:rPr></w:pPr><w:r><w:t>ESCP Business School se fundó en 1819. La escuela ha optado por enseñar un liderazgo responsable, abierto al mundo y basado en el multiculturalismo europeo. Seis campus en Berlín, Londres, Madrid, París, Turín y Varsovia son los trampolines que permiten a los estudiantes experimentar este enfoque europeo de la gestión. Varias generaciones de empresarios y directivos se formaron así en la firme creencia de que el mundo empresarial puede alimentar a la sociedad de forma positiva. Esta convicción y  valores de ESCP - excelencia, singularidad, creatividad y pluralidad - guían diariamente su misión y construyen su visión pedagógica.</w:t></w:r></w:p><w:p><w:pPr><w:ind w:left="-284" w:right="-427"/>	<w:jc w:val="both"/><w:rPr><w:rFonts/><w:color w:val="262626" w:themeColor="text1" w:themeTint="D9"/></w:rPr></w:pPr><w:r><w:t>Cada año, ESCP acoge a más de 10.000 estudiantes y 6.000 directivos de 135 nacionalidades diferentes. Su fuerza radica en sus numerosos programas de formación empresarial, tanto generales como especializados (Bachelor, Master, MBA, Executive MBA, PhD y Executive Education), todos los cuales incluyen una experiencia multicampus.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MGC&Co. Public Relations</w:t></w:r></w:p><w:p w:rsidR="00C31F72" w:rsidRDefault="00C31F72" w:rsidP="00AB63FE"><w:pPr><w:pStyle w:val="Sinespaciado"/><w:spacing w:line="276" w:lineRule="auto"/><w:ind w:left="-284"/><w:rPr><w:rFonts w:ascii="Arial" w:hAnsi="Arial" w:cs="Arial"/></w:rPr></w:pPr><w:r><w:rPr><w:rFonts w:ascii="Arial" w:hAnsi="Arial" w:cs="Arial"/></w:rPr><w:t>MGC&Co. Public Relations</w:t></w:r></w:p><w:p w:rsidR="00AB63FE" w:rsidRDefault="00C31F72" w:rsidP="00AB63FE"><w:pPr><w:pStyle w:val="Sinespaciado"/><w:spacing w:line="276" w:lineRule="auto"/><w:ind w:left="-284"/><w:rPr><w:rFonts w:ascii="Arial" w:hAnsi="Arial" w:cs="Arial"/></w:rPr></w:pPr><w:r><w:rPr><w:rFonts w:ascii="Arial" w:hAnsi="Arial" w:cs="Arial"/></w:rPr><w:t>910348467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https://www.notasdeprensa.es/escp-business-school-prosci-y-anova-lanzan-el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Andalucia Cursos Innovación Tecnológica Digital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