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del IX Premio Novática, al mejor artículo publicado en 2014 por Novática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Premio Novática al mejor artículo publicado en 2014 por Novática, revista que edita la Asociación de Técnicos de Informática (ATI), se entregó a sus autores en Madrid el día 27 de octubre de 2015, en el marco de la presentación de la monografía "Accesibilidad Web" del número 232 de la revista, que tuvo lugar en la sede de la UOC (Universitat Oberta de Catalunya) en Madrid. 		A partir de una lista final de cinco artículos preseleccionados por el Jurado, éste seleccionó el ganador al artículo Retos de los juegos educativos, del que son autores Baltasar Fernández-Manjón, Pablo Moreno-Ger, Iván Martínez-Ortiz y Manuel Freire, miembros todos ellos del Grupo e-UCM de la Facultad de Informática de la Universidad Complutense de Madrid. 		El artículo, que está a disposición pública, fue publicado en la monografía Juegos serios: Aprender jugando del número 230 (octubre-diciembre de 2014). En él se describen los principales retos que se deben abordar en los juegos educativos para que se produzca una generalización de su uso, retos que se clasifican en tres dimensiones principales: socio-cultural, educativa y tecnológica, planteando también posibles medidas para abordarlos. 		Se puede encontrar  información detallada sobre todas las ediciones del Premio Novática en el sitio web de ATI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https://www.notasdeprensa.es/entrega-del-ix-premio-novatica-al-mejor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