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julio y septiembre de 2013 se vendieron  70.196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estadística sobre transacciones inmobiliarias de viviendas realizadas ante notario muestran que en el tercer trimestre de 2013 se vendieron en España 70.196 viviendas, lo que representa una caída 6,8% frente al tercer trimestre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periodo comprendido entre octubre de 2012 a septiembre de 2013 las transacciones inmobiliarias de viviendas realizadas ante notario ascendieron a un total de 341.104, lo que supone un incremento frente a los 12 meses anteriores de un 1,4%.</w:t>
            </w:r>
          </w:p>
          <w:p>
            <w:pPr>
              <w:ind w:left="-284" w:right="-427"/>
              <w:jc w:val="both"/>
              <w:rPr>
                <w:rFonts/>
                <w:color w:val="262626" w:themeColor="text1" w:themeTint="D9"/>
              </w:rPr>
            </w:pPr>
            <w:r>
              <w:t>	En relación a la distribución territorial de las transacciones, cuatro comunidades autónomas presentan variaciones interanuales positivas y trece registran caídas interanuales. Destacan entre las mayores subidas Canarias (10,5%), Murcia (8,8%) y Cataluña (8,2%). Las mayores caídas interanuales se producen en Cantabria (-33,0%), País Vasco (-30,0%) y Extremadura (-28,3%).</w:t>
            </w:r>
          </w:p>
          <w:p>
            <w:pPr>
              <w:ind w:left="-284" w:right="-427"/>
              <w:jc w:val="both"/>
              <w:rPr>
                <w:rFonts/>
                <w:color w:val="262626" w:themeColor="text1" w:themeTint="D9"/>
              </w:rPr>
            </w:pPr>
            <w:r>
              <w:t>	Tercer trimestre 2012 Tercer trimestre 2013 Variación Total nacional 75.313 70.196 -6,8% Andalucía 14.731 15.759 7,0% Aragón 2.112 1.903 -9,9% Asturias (Principado de) 1.436 1.137 -20,8% Balears (Illes) 2.140 1.870 -12,6% Canarias 3.006 3.321 10,5% Cantabria 1.198 803 -33,0% Castilla y León 4.207 3.519 -16,4% Castilla-La Mancha 3.626 2.633 -27,4% Cataluña 10.579 11.442 8,2% Comunitat Valenciana 12.091 11.501 -4,9% Extremadura 1.558 1.117 -28,3% Galicia 3.459 2.732 -21,0% Madrid (Comunidad de) 8.523 6.618 -22,4% Murcia (Región de) 2.283 2.485 8,8% Navarra (C. Foral de) 647 586 -9,4% País Vasco 2.870 2.008 -30,0% Rioja (La) 702 641 -8,7% Ceuta y Melilla 145 121 -16,6%</w:t>
            </w:r>
          </w:p>
          <w:p>
            <w:pPr>
              <w:ind w:left="-284" w:right="-427"/>
              <w:jc w:val="both"/>
              <w:rPr>
                <w:rFonts/>
                <w:color w:val="262626" w:themeColor="text1" w:themeTint="D9"/>
              </w:rPr>
            </w:pPr>
            <w:r>
              <w:t>	Por su parte, analizando el comportamiento de los últimos 12 meses, nueve comunidades registran comportamiento positivo mientras que en las ocho restantes y las ciudades autónomas de Ceuta y Melilla se producen caídas. Destacan por una parte Murcia, Aragón y Cataluña, con aumentos en los últimos doce meses del 14,3%, 9,4% y 7,6% respectivamente y, de otra parte, Cantabria, País Vasco y Castilla La- Mancha con caídas del 17,3%, 15,3% y 14,6% respectivamente.</w:t>
            </w:r>
          </w:p>
          <w:p>
            <w:pPr>
              <w:ind w:left="-284" w:right="-427"/>
              <w:jc w:val="both"/>
              <w:rPr>
                <w:rFonts/>
                <w:color w:val="262626" w:themeColor="text1" w:themeTint="D9"/>
              </w:rPr>
            </w:pPr>
            <w:r>
              <w:t>	Total compraventasdel periodo octubre 2011 - septiembre 2012 Total compraventasdel periodo octubre 2012 - septiembre 2013 Variación Total nacional 336.395 341.104 1,4% Andalucía 65.008 68.657 5,6% Aragón 9.283 10.155 9,4% Asturias (Principado de) 6.978 6.024 -13,7% Balears (Illes) 8.708 8.881 2,0% Canarias 14.550 15.508 6,6% Cantabria 4.612 3.815 -17,3% Castilla y León 18.183 16.885 -7,1% Castilla-La Mancha 17.552 14.983 -14,6% Cataluña 45.987 49.473 7,6% Comunitat Valenciana 48.950 52.052 6,3% Extremadura 7.185 6.390 -11,1% Galicia 15.127 14.647 -3,2% Madrid (Comunidad de) 41.349 41.962 1,5% Murcia (Región de) 10.245 11.713 14,3% Navarra (C. Foral de) 4.374 3.942 -9,9% País Vasco 14.877 12.603 -15,3% Rioja (La) 2.722 2.764 1,5% Ceuta y Melilla 705 650 -7,8%</w:t>
            </w:r>
          </w:p>
          <w:p>
            <w:pPr>
              <w:ind w:left="-284" w:right="-427"/>
              <w:jc w:val="both"/>
              <w:rPr>
                <w:rFonts/>
                <w:color w:val="262626" w:themeColor="text1" w:themeTint="D9"/>
              </w:rPr>
            </w:pPr>
            <w:r>
              <w:t>	Por provincias, diez registran incrementos interanuales, con Málaga (25,4%), Santa Cruz de Tenerife (20,1%), Almería (18,4%) y Alicante (16,4%) a la cabeza. 42 provincias presentan variaciones negativas, destacando Álava (-70,9), Toledo (-40,4%), Castellón (-37,2%) y Cantabria (-33,0%).</w:t>
            </w:r>
          </w:p>
          <w:p>
            <w:pPr>
              <w:ind w:left="-284" w:right="-427"/>
              <w:jc w:val="both"/>
              <w:rPr>
                <w:rFonts/>
                <w:color w:val="262626" w:themeColor="text1" w:themeTint="D9"/>
              </w:rPr>
            </w:pPr>
            <w:r>
              <w:t>	Por municipios, los que registran un mayor número de compraventas son Madrid (3.614), Barcelona (2.378), Sevilla (1.174), Torrevieja (1.090), Málaga (948), Valencia (910) y Zaragoza (784).</w:t>
            </w:r>
          </w:p>
          <w:p>
            <w:pPr>
              <w:ind w:left="-284" w:right="-427"/>
              <w:jc w:val="both"/>
              <w:rPr>
                <w:rFonts/>
                <w:color w:val="262626" w:themeColor="text1" w:themeTint="D9"/>
              </w:rPr>
            </w:pPr>
            <w:r>
              <w:t>	Destacan, por crecimiento entre las capitales de provincia y municipios de más de 100.000 habitantes, Huesca (66,7%), L and #39;Hospitalet de Llobregat, (50,6%), Cáceres (46,7%), Marbella (36,5%) y Santa Cruz de Tenerife (35,9%). En cuanto a las mayores caídas, destacan Vitoria (-78,2%), Toledo (-70,1%), Teruel (-55,4%), Getafe (-51,4%) y Ávila (-44,0%)</w:t>
            </w:r>
          </w:p>
          <w:p>
            <w:pPr>
              <w:ind w:left="-284" w:right="-427"/>
              <w:jc w:val="both"/>
              <w:rPr>
                <w:rFonts/>
                <w:color w:val="262626" w:themeColor="text1" w:themeTint="D9"/>
              </w:rPr>
            </w:pPr>
            <w:r>
              <w:t>	En lo que se refiere al régimen de protección, las transacciones de vivienda libre durante el tercer trimestre de 2013 ascendieron a 66.477, lo que representa un 94,7% del total.</w:t>
            </w:r>
          </w:p>
          <w:p>
            <w:pPr>
              <w:ind w:left="-284" w:right="-427"/>
              <w:jc w:val="both"/>
              <w:rPr>
                <w:rFonts/>
                <w:color w:val="262626" w:themeColor="text1" w:themeTint="D9"/>
              </w:rPr>
            </w:pPr>
            <w:r>
              <w:t>	Por su parte, las transacciones de vivienda protegida ascendieron en dicho periodo a 3.719, un 5,3% del total.</w:t>
            </w:r>
          </w:p>
          <w:p>
            <w:pPr>
              <w:ind w:left="-284" w:right="-427"/>
              <w:jc w:val="both"/>
              <w:rPr>
                <w:rFonts/>
                <w:color w:val="262626" w:themeColor="text1" w:themeTint="D9"/>
              </w:rPr>
            </w:pPr>
            <w:r>
              <w:t>	En cuanto a la tipología, 13.918 transacciones correspondieron a vivienda nueva, lo que representa un 19,8% del total. Por su parte la vivienda de segunda mano con 56.278 supone el 80,2%.</w:t>
            </w:r>
          </w:p>
          <w:p>
            <w:pPr>
              <w:ind w:left="-284" w:right="-427"/>
              <w:jc w:val="both"/>
              <w:rPr>
                <w:rFonts/>
                <w:color w:val="262626" w:themeColor="text1" w:themeTint="D9"/>
              </w:rPr>
            </w:pPr>
            <w:r>
              <w:t>	En relación a la nacionalidad del comprador, las transacciones realizadas por extranjeros residentes en España experimentan crecimiento interanual por noveno trimestre consecutivo, en concreto un 24,7% frente al tercer trimestre de 2012, en total 10.960 compraventas. Asimismo, las compraventas realizadas por extranjeros no residentes ascienden a 1.110 en el trimestre, 34,6% superior a hace un año, lo que también supone crecimiento interanual por 9º trimestre consecutivo.</w:t>
            </w:r>
          </w:p>
          <w:p>
            <w:pPr>
              <w:ind w:left="-284" w:right="-427"/>
              <w:jc w:val="both"/>
              <w:rPr>
                <w:rFonts/>
                <w:color w:val="262626" w:themeColor="text1" w:themeTint="D9"/>
              </w:rPr>
            </w:pPr>
            <w:r>
              <w:t>	En su conjunto, las compraventas realizas por extranjeros (residentes y no residentes) suponen 12.070, es decir, el 17,2% del total. Este porcentaje supone el mayor registro en toda la serie histórica (2006-2013)</w:t>
            </w:r>
          </w:p>
          <w:p>
            <w:pPr>
              <w:ind w:left="-284" w:right="-427"/>
              <w:jc w:val="both"/>
              <w:rPr>
                <w:rFonts/>
                <w:color w:val="262626" w:themeColor="text1" w:themeTint="D9"/>
              </w:rPr>
            </w:pPr>
            <w:r>
              <w:t>	Por provincias, las que registran mayor número de compraventas por extranjeros residentes corresponden a Alicante (3.158), Málaga (1.552), Barcelona (889), Girona (758) y Tenerife (705).</w:t>
            </w:r>
          </w:p>
          <w:p>
            <w:pPr>
              <w:ind w:left="-284" w:right="-427"/>
              <w:jc w:val="both"/>
              <w:rPr>
                <w:rFonts/>
                <w:color w:val="262626" w:themeColor="text1" w:themeTint="D9"/>
              </w:rPr>
            </w:pPr>
            <w:r>
              <w:t>	Fuentes</w:t>
            </w:r>
          </w:p>
          <w:p>
            <w:pPr>
              <w:ind w:left="-284" w:right="-427"/>
              <w:jc w:val="both"/>
              <w:rPr>
                <w:rFonts/>
                <w:color w:val="262626" w:themeColor="text1" w:themeTint="D9"/>
              </w:rPr>
            </w:pPr>
            <w:r>
              <w:t>	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https://www.notasdeprensa.es/entre-julio-y-septiembre-de-2013-se-vendieron_1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