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enero y marzo de 2014 se vendieron  81.358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la estadística sobre transacciones inmobiliarias de viviendas realizadas ante notario, muestran que en el primer trimestre de 2014 se vendieron en España 81.358 viviendas. Para encontrar un primer trimestre con más transacciones hay que remontarse al año 2010.</w:t>
            </w:r>
          </w:p>
          <w:p>
            <w:pPr>
              <w:ind w:left="-284" w:right="-427"/>
              <w:jc w:val="both"/>
              <w:rPr>
                <w:rFonts/>
                <w:color w:val="262626" w:themeColor="text1" w:themeTint="D9"/>
              </w:rPr>
            </w:pPr>
            <w:r>
              <w:t>El dato representa una subida del 48,4% frente al primer trimestre de 2013. No obstante, hay que tener en cuenta que el 4º trimestre de 2012 y el primero de 2013, fueron atípicos por el fin de la desgravación fiscal y la subida del IVA, por lo que tiene más sentido hacer una comparación anual.</w:t>
            </w:r>
          </w:p>
          <w:p>
            <w:pPr>
              <w:ind w:left="-284" w:right="-427"/>
              <w:jc w:val="both"/>
              <w:rPr>
                <w:rFonts/>
                <w:color w:val="262626" w:themeColor="text1" w:themeTint="D9"/>
              </w:rPr>
            </w:pPr>
            <w:r>
              <w:t>Así, en los últimos doce meses las transacciones inmobiliarias de viviendas realizadas ante notario ascendieron a un total de 327.091, lo que supone un incremento del 8,8% frente a las realizadas en todo el año 2013.</w:t>
            </w:r>
          </w:p>
          <w:p>
            <w:pPr>
              <w:ind w:left="-284" w:right="-427"/>
              <w:jc w:val="both"/>
              <w:rPr>
                <w:rFonts/>
                <w:color w:val="262626" w:themeColor="text1" w:themeTint="D9"/>
              </w:rPr>
            </w:pPr>
            <w:r>
              <w:t>Analizando el comportamiento de los últimos 12 meses, (abril13-marzo14 frente a abril12-marzo13) tres comunidades autónomas registran un comportamiento positivo: Canarias, Madrid y Cataluña, con una subida anual del 13,9%, 4,2%, 1,7% respectivamente. En Ceuta y Melilla la subida es del 2,4%. En el resto se continúan produciendo caídas anuales. Entre las más moderadas destacan Baleares, Comunidad Valenciana y Andalucía, con un -1,2%, -2,9% y -6,2% respectivamente y, de otra parte, Extremadura, Asturias y Castilla-La Mancha con caídas del -27,2%, -25,4% y -21,9% respectivamente, son las comunidades con caídas más abultadas. </w:t>
            </w:r>
          </w:p>
               Total compraventas del periodo abril 2012 - marzo 2013 Total compraventa sdel periodoabril 2013 - marzo 2014 Variación   Total nacional  349.038 327.091 -6,3%   Andalucía  68.048 63.829 -6,2%   Aragón  10.468 8.311 -20,6%   Asturias (Principado de)  6.706 5.002 -25,4%   Balears (Illes)  9.119 9.012 -1,2%   Canarias  14.744 16.795 13,9%   Cantabria  4.437 3.512 -20,8%   Castilla y León  18.241 15.196 -16,7%   Castilla-La Mancha  17.205 13.431 -21,9%   Cataluña  47.705 48.524 1,7%   Comunitat Valenciana  52.236 50.742 -2,9%   Extremadura  7.620 5.548 -27,2%   Galicia  15.743 12.664 -19,6%   Madrid (Comunidad de)  43.559 45.375 4,2%   Murcia (Región de)  11.329 10.418 -8,0%   Navarra (C. Foral de)  4.168 3.701 -11,2%   País Vasco  14.142 11.750 -16,9%   Rioja (La)  2.863 2.559 -10,6%   Ceuta y Melilla  705 722 2,4%    
          <w:p>
            <w:pPr>
              <w:ind w:left="-284" w:right="-427"/>
              <w:jc w:val="both"/>
              <w:rPr>
                <w:rFonts/>
                <w:color w:val="262626" w:themeColor="text1" w:themeTint="D9"/>
              </w:rPr>
            </w:pPr>
            <w:r>
              <w:t>Por provincias, 10 registran incrementos anuales, (abril13-marzo14 frente a abril12-marzo13) destacando Ceuta (18,8%), Santa Cruz de Tenerife (15,5%), Málaga (12,5%) y Las Palmas (12,5%). También se registran incrementos menores en Barcelona, Girona, Madrid, Alicante, Guadalajara y Lugo. Las 42 restantes registran caídas, en especial Álava (-48,5%), Toledo (-34,6%), Cuenca (-33,5%) y Cáceres (-27,7%).</w:t>
            </w:r>
          </w:p>
          <w:p>
            <w:pPr>
              <w:ind w:left="-284" w:right="-427"/>
              <w:jc w:val="both"/>
              <w:rPr>
                <w:rFonts/>
                <w:color w:val="262626" w:themeColor="text1" w:themeTint="D9"/>
              </w:rPr>
            </w:pPr>
            <w:r>
              <w:t>Por municipios, los que registran un mayor número de compraventas en el primer trimestre son Madrid (6.957), Barcelona (2.999), Sevilla (1.366), Valencia (1.252), Zaragoza (1.177), Torrevieja (927) y Marbella (890). En el caso de Madrid y Barcelona son los datos más elevados en un primer trimestre desde el año 2008 y 2007 respectivamente.</w:t>
            </w:r>
          </w:p>
          <w:p>
            <w:pPr>
              <w:ind w:left="-284" w:right="-427"/>
              <w:jc w:val="both"/>
              <w:rPr>
                <w:rFonts/>
                <w:color w:val="262626" w:themeColor="text1" w:themeTint="D9"/>
              </w:rPr>
            </w:pPr>
            <w:r>
              <w:t>Destacan, por crecimiento anual (abril13-marzo14 frente a abril12-marzo13) entre las capitales de provincia y municipios de más de 100.000 habitantes, Marbella (37,5%), Huesca (36,8%), San Sebastián (25,9%), Madrid (24,7%), Barcelona (23,5%) y Ceuta (18,8%). En el extremo contario destacan Vitoria (-52,4%), Cuenca (-47,4%), Soria (-46,3%), Getafe (-45,6%) y Leganés (-44,0%). </w:t>
            </w:r>
          </w:p>
          <w:p>
            <w:pPr>
              <w:ind w:left="-284" w:right="-427"/>
              <w:jc w:val="both"/>
              <w:rPr>
                <w:rFonts/>
                <w:color w:val="262626" w:themeColor="text1" w:themeTint="D9"/>
              </w:rPr>
            </w:pPr>
            <w:r>
              <w:t>En lo que se refiere al régimen de protección, las transacciones de vivienda libre durante el primer trimestre de 2014 ascendieron a 77.271, lo que representa un 95,0% del total. </w:t>
            </w:r>
          </w:p>
          <w:p>
            <w:pPr>
              <w:ind w:left="-284" w:right="-427"/>
              <w:jc w:val="both"/>
              <w:rPr>
                <w:rFonts/>
                <w:color w:val="262626" w:themeColor="text1" w:themeTint="D9"/>
              </w:rPr>
            </w:pPr>
            <w:r>
              <w:t>Por su parte, las transacciones de vivienda protegida ascendieron, en dicho periodo a 4.087, un 5,0% del total.</w:t>
            </w:r>
          </w:p>
          <w:p>
            <w:pPr>
              <w:ind w:left="-284" w:right="-427"/>
              <w:jc w:val="both"/>
              <w:rPr>
                <w:rFonts/>
                <w:color w:val="262626" w:themeColor="text1" w:themeTint="D9"/>
              </w:rPr>
            </w:pPr>
            <w:r>
              <w:t>En cuanto a la tipología, 13.303 transacciones correspondieron a vivienda nueva, lo que representa un 16,4% del total. Por su parte la vivienda de segunda mano con 68.055 supone el 83,6%. </w:t>
            </w:r>
          </w:p>
          <w:p>
            <w:pPr>
              <w:ind w:left="-284" w:right="-427"/>
              <w:jc w:val="both"/>
              <w:rPr>
                <w:rFonts/>
                <w:color w:val="262626" w:themeColor="text1" w:themeTint="D9"/>
              </w:rPr>
            </w:pPr>
            <w:r>
              <w:t>En relación a la nacionalidad del comprador, las transacciones realizadas por extranjeros residentes en España experimentan crecimiento interanual (sobre mismo trimestre del año anterior) por undécimo trimestre consecutivo, en concreto un 52,6% frente al primer trimestre de 2013, con 12.787 compraventas. Asimismo, las compraventas realizadas por extranjeros no residentes ascienden a 858 en el trimestre, un 9,0% superior a las de hace un año.</w:t>
            </w:r>
          </w:p>
          <w:p>
            <w:pPr>
              <w:ind w:left="-284" w:right="-427"/>
              <w:jc w:val="both"/>
              <w:rPr>
                <w:rFonts/>
                <w:color w:val="262626" w:themeColor="text1" w:themeTint="D9"/>
              </w:rPr>
            </w:pPr>
            <w:r>
              <w:t>En su conjunto, las compraventas realizas por extranjeros (residentes y no residentes) suponen 13.645, es decir, el 16,8% del total, siendo el porcentaje realizado por extranjeros residentes del 15,7% (record histórico). </w:t>
            </w:r>
          </w:p>
          <w:p>
            <w:pPr>
              <w:ind w:left="-284" w:right="-427"/>
              <w:jc w:val="both"/>
              <w:rPr>
                <w:rFonts/>
                <w:color w:val="262626" w:themeColor="text1" w:themeTint="D9"/>
              </w:rPr>
            </w:pPr>
            <w:r>
              <w:t>Por provincias, las que registran mayor número de compraventas por extranjeros residentes, corresponden a Alicante (3.191), Málaga (1.853), Barcelona (1.150), Tenerife (1021) y Madrid (784).</w:t>
            </w:r>
          </w:p>
           Fuentes 
          <w:p>
            <w:pPr>
              <w:ind w:left="-284" w:right="-427"/>
              <w:jc w:val="both"/>
              <w:rPr>
                <w:rFonts/>
                <w:color w:val="262626" w:themeColor="text1" w:themeTint="D9"/>
              </w:rPr>
            </w:pPr>
            <w:r>
              <w:t>Las estadísticas de transacciones del Ministerio de Fomento se realizan a través de los datos facilitados por el Colegio del Notariado y recogen el número de viviendas objeto de compraventas formalizadas en escritura pública en oficina notarial.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https://www.notasdeprensa.es/entre-enero-y-marzo-de-2014-se-vendieron-81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