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 abril y junio de 2013 se vendieron  80.722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de la estadística sobre transacciones inmobiliarias de viviendas realizadas ante notario muestran que en el segundo trimestre de 2013 se vendieron en España 80.722 viviendas, lo que representa una caída 4,2% frente al segundo trimestre de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los últimos doce meses, periodo julio 2012-junio 2013, las transacciones inmobiliarias de viviendas realizadas ante notario, ascendieron a un total de 345.471, lo que supone un incremento frente a los 12 meses anteriores de un 2,3%.</w:t>
            </w:r>
          </w:p>
          <w:p>
            <w:pPr>
              <w:ind w:left="-284" w:right="-427"/>
              <w:jc w:val="both"/>
              <w:rPr>
                <w:rFonts/>
                <w:color w:val="262626" w:themeColor="text1" w:themeTint="D9"/>
              </w:rPr>
            </w:pPr>
            <w:r>
              <w:t>	En relación a la distribución territorial de las transacciones, cinco comunidades autónomas presentan variaciones interanuales positivas y 12 registran caídas interanuales. Destacan entre las mayores subidas Canarias (16,2%), Cataluña (12,1%) y Murcia (9,5%). Las mayores caídas interanuales se producen en Extremadura (-38,4%), Navarra (-33,6%) y País Vasco (-33,1%).</w:t>
            </w:r>
          </w:p>
          <w:p>
            <w:pPr>
              <w:ind w:left="-284" w:right="-427"/>
              <w:jc w:val="both"/>
              <w:rPr>
                <w:rFonts/>
                <w:color w:val="262626" w:themeColor="text1" w:themeTint="D9"/>
              </w:rPr>
            </w:pPr>
            <w:r>
              <w:t>	Segundo trimestre 2012 Segundo trimestre 2013 Variación Total nacional 84.289 80.722 -4,2% Andalucía 16.308 16.323 0,1% Aragón 2.231 2.195 -1,6% Asturias (Principado de) 1.632 1.316 -19,4% Balears (Illes) 2.081 1.878 -9,8% Canarias 3.948 4.587 16,2% Cantabria 1.048 840 -19,8% Castilla y León 4.225 3.432 -18,8% Castilla-La Mancha 4.613 3.362 -27,1% Cataluña 11.675 13.093 12,1% Comunitat Valenciana 13.374 13.781 3,0% Extremadura 2.071 1.275 -38,4% Galicia 3.467 2.907 -16,2% Madrid (Comunidad de) 9.779 9.076 -7,2% Murcia (Región de) 2.676 2.930 9,5% Navarra (C. Foral de) 946 628 -33,6% País Vasco 3.327 2.227 -33,1% Rioja (La) 688 688 0,0% Ceuta y Melilla 200 184 -8,0%</w:t>
            </w:r>
          </w:p>
          <w:p>
            <w:pPr>
              <w:ind w:left="-284" w:right="-427"/>
              <w:jc w:val="both"/>
              <w:rPr>
                <w:rFonts/>
                <w:color w:val="262626" w:themeColor="text1" w:themeTint="D9"/>
              </w:rPr>
            </w:pPr>
            <w:r>
              <w:t>	Por su parte, analizando el comportamiento de los últimos 12 meses, 9 comunidades registran comportamiento positivo mientras que en las 8 restantes y las ciudades autónomas de Ceuta y Melilla se producen caídas. Destacan por una parte La Rioja, Murcia y Aragón, con aumentos en los últimos 12 meses del 13,7%, 13,5% y 12,1% respectivamente y, de otra parte, Navarra y País Vasco, con caídas del 23,4% y 19% respectivamente.</w:t>
            </w:r>
          </w:p>
          <w:p>
            <w:pPr>
              <w:ind w:left="-284" w:right="-427"/>
              <w:jc w:val="both"/>
              <w:rPr>
                <w:rFonts/>
                <w:color w:val="262626" w:themeColor="text1" w:themeTint="D9"/>
              </w:rPr>
            </w:pPr>
            <w:r>
              <w:t>	Total compraventas del periodo julio 2011 - junio 2012 Total compraventas del periodo julio 2012 - junio 2013 Variación Total nacional 337.616 345.471 2,3% Andalucía 65.049 68.063 4,6% Aragón 9.306 10.432 12,1% Asturias (Principado de) 7.064 6.390 -9,5% Balears (Illes) 8.490 8.916 5,0% Canarias 14.618 15.383 5,2% Cantabria 4.645 4.229 -9,0% Castilla y León 18.619 17.448 -6,3% Castilla-La Mancha 17.179 15.954 -7,1% Cataluña 45.697 49.123 7,5% Comunitat Valenciana 47.999 52.643 9,7% Extremadura 7.434 6.824 -8,2% Galicia 15.328 15.183 -0,9% Madrid (Comunidad de) 41.604 42.856 3,0% Murcia (Región de) 10.203 11.583 13,5% Navarra (C. Foral de) 5.029 3.850 -23,4% País Vasco 16.099 13.042 -19,0% Rioja (La) 2.519 2.863 13,7% Ceuta y Melilla 734 689 -6,1%</w:t>
            </w:r>
          </w:p>
          <w:p>
            <w:pPr>
              <w:ind w:left="-284" w:right="-427"/>
              <w:jc w:val="both"/>
              <w:rPr>
                <w:rFonts/>
                <w:color w:val="262626" w:themeColor="text1" w:themeTint="D9"/>
              </w:rPr>
            </w:pPr>
            <w:r>
              <w:t>	Por provincias, 17 registran incrementos interanuales, con Girona (36,0%), Huesca (32,7%), Palencia (30,7%) y Málaga (21,2%) a la cabeza. 34 provincias presentan variaciones negativas, destacando Guipúzcoa (-53,1), Toledo (-43,8%), Álava (-42,6%) y Badajoz (-39,2%).</w:t>
            </w:r>
          </w:p>
          <w:p>
            <w:pPr>
              <w:ind w:left="-284" w:right="-427"/>
              <w:jc w:val="both"/>
              <w:rPr>
                <w:rFonts/>
                <w:color w:val="262626" w:themeColor="text1" w:themeTint="D9"/>
              </w:rPr>
            </w:pPr>
            <w:r>
              <w:t>	Por municipios, los que registran un mayor número de compraventas, son Madrid (5.269), Barcelona (2.813), Valencia (1.561) y Sevilla (1.228).</w:t>
            </w:r>
          </w:p>
          <w:p>
            <w:pPr>
              <w:ind w:left="-284" w:right="-427"/>
              <w:jc w:val="both"/>
              <w:rPr>
                <w:rFonts/>
                <w:color w:val="262626" w:themeColor="text1" w:themeTint="D9"/>
              </w:rPr>
            </w:pPr>
            <w:r>
              <w:t>	Destacan, por crecimiento entre las capitales de provincia y municipios de más de 100.000 habitantes, Huesca (94,4%), Girona (82,4%), Logroño (79,5%), Barakaldo (75,2%), Leganés (65,2%) y Teruel (61,9%). En cuanto a las mayores caídas, destacan Getafe (-68,0%), Cáceres (-52,0%), Badajoz (-51,7%), Vitoria (-45,8%), Toledo (-45,3%) y Cádiz (-44,4%)</w:t>
            </w:r>
          </w:p>
          <w:p>
            <w:pPr>
              <w:ind w:left="-284" w:right="-427"/>
              <w:jc w:val="both"/>
              <w:rPr>
                <w:rFonts/>
                <w:color w:val="262626" w:themeColor="text1" w:themeTint="D9"/>
              </w:rPr>
            </w:pPr>
            <w:r>
              <w:t>	En lo que se refiere al régimen de protección, las transacciones de vivienda libre durante el segundo trimestre de 2013 ascendieron a 76.933, lo que representa un 95,3% del total.</w:t>
            </w:r>
          </w:p>
          <w:p>
            <w:pPr>
              <w:ind w:left="-284" w:right="-427"/>
              <w:jc w:val="both"/>
              <w:rPr>
                <w:rFonts/>
                <w:color w:val="262626" w:themeColor="text1" w:themeTint="D9"/>
              </w:rPr>
            </w:pPr>
            <w:r>
              <w:t>	Por su parte, las transacciones de vivienda protegida ascendieron en dicho periodo a 3.789, un 4,7% del total.</w:t>
            </w:r>
          </w:p>
          <w:p>
            <w:pPr>
              <w:ind w:left="-284" w:right="-427"/>
              <w:jc w:val="both"/>
              <w:rPr>
                <w:rFonts/>
                <w:color w:val="262626" w:themeColor="text1" w:themeTint="D9"/>
              </w:rPr>
            </w:pPr>
            <w:r>
              <w:t>	En cuanto a la tipología, la vivienda nueva ascendió a 14.056 transacciones, lo que representa un 17,4% del total. Por su parte la vivienda de segunda mano con 66.666 supone el 82,6%.</w:t>
            </w:r>
          </w:p>
          <w:p>
            <w:pPr>
              <w:ind w:left="-284" w:right="-427"/>
              <w:jc w:val="both"/>
              <w:rPr>
                <w:rFonts/>
                <w:color w:val="262626" w:themeColor="text1" w:themeTint="D9"/>
              </w:rPr>
            </w:pPr>
            <w:r>
              <w:t>	En relación a la nacionalidad del comprador, las transacciones realizadas por extranjeros residentes en España experimentan crecimiento interanual por octavo trimestre consecutivo, en concreto un 28,4% frente al segundo trimestre de 2012, totalizando 12.546 compraventas. Asimismo, las compraventas realizadas por extranjeros no residentes ascienden a 1.086 en el trimestre lo que también supone crecimiento interanual por octavo trimestre consecutivo.</w:t>
            </w:r>
          </w:p>
          <w:p>
            <w:pPr>
              <w:ind w:left="-284" w:right="-427"/>
              <w:jc w:val="both"/>
              <w:rPr>
                <w:rFonts/>
                <w:color w:val="262626" w:themeColor="text1" w:themeTint="D9"/>
              </w:rPr>
            </w:pPr>
            <w:r>
              <w:t>	En su conjunto, las compraventas realizas por extranjeros (residentes y no residentes) suponen 13.632, es decir, el 16,9% del total. Este porcentaje supone el mayor registro en toda la serie histórica (2006-2013).</w:t>
            </w:r>
          </w:p>
          <w:p>
            <w:pPr>
              <w:ind w:left="-284" w:right="-427"/>
              <w:jc w:val="both"/>
              <w:rPr>
                <w:rFonts/>
                <w:color w:val="262626" w:themeColor="text1" w:themeTint="D9"/>
              </w:rPr>
            </w:pPr>
            <w:r>
              <w:t>	Por provincias, las que registran mayor número de compraventas por extranjeros residentes, corresponden a Alicante (3.543), Málaga (1.771), Barcelona (1.008), Tenerife (921) y Girona (767).</w:t>
            </w:r>
          </w:p>
          <w:p>
            <w:pPr>
              <w:ind w:left="-284" w:right="-427"/>
              <w:jc w:val="both"/>
              <w:rPr>
                <w:rFonts/>
                <w:color w:val="262626" w:themeColor="text1" w:themeTint="D9"/>
              </w:rPr>
            </w:pPr>
            <w:r>
              <w:t>	Fuentes</w:t>
            </w:r>
          </w:p>
          <w:p>
            <w:pPr>
              <w:ind w:left="-284" w:right="-427"/>
              <w:jc w:val="both"/>
              <w:rPr>
                <w:rFonts/>
                <w:color w:val="262626" w:themeColor="text1" w:themeTint="D9"/>
              </w:rPr>
            </w:pPr>
            <w:r>
              <w:t>	Las estadísticas de transacciones del Ministerio de Fomento se realizan a través de los datos facilitados por el Colegio del Notariado y recogen el número de viviendas objeto de compraventas formalizadas en escritura pública en oficina notarial.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https://www.notasdeprensa.es/entre-abril-y-junio-de-2013-se-vendieron-80_1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