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noviembre el número de pernoctaciones en hoteles canarios aumentó un 13,5% respecto al mismo mes de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establecimientos hoteleros registraron en noviembre 5,6 millones de pernoctaciones, lo que supone un incremento del 13,5% respecto a las registradas en el mismo mes de 2012. Las de los extranjeros subieron un 10,8% y las de los nacionales un 43,2%.</w:t>
            </w:r>
          </w:p>
          <w:p>
            <w:pPr>
              <w:ind w:left="-284" w:right="-427"/>
              <w:jc w:val="both"/>
              <w:rPr>
                <w:rFonts/>
                <w:color w:val="262626" w:themeColor="text1" w:themeTint="D9"/>
              </w:rPr>
            </w:pPr>
            <w:r>
              <w:t>	El índice censal de ocupación por habitaciones se cifró en 85,8%, un aumento de 8,3 puntos respecto al mismo periodo del año pasado. La isla con mayor índice censal de ocupación por habitaciones fue Tenerife con un 88,6%.</w:t>
            </w:r>
          </w:p>
          <w:p>
            <w:pPr>
              <w:ind w:left="-284" w:right="-427"/>
              <w:jc w:val="both"/>
              <w:rPr>
                <w:rFonts/>
                <w:color w:val="262626" w:themeColor="text1" w:themeTint="D9"/>
              </w:rPr>
            </w:pPr>
            <w:r>
              <w:t>	El índice censal de ocupación por habitaciones en el puente de todos los santos se cifró en 79,95, seis puntos más que el mismo periodo de 2012. Los viajeros alojados en establecimientos hoteleros ascendieron a 123.626, un 17% del total de viajeros alojados en el mes de noviembre.</w:t>
            </w:r>
          </w:p>
          <w:p>
            <w:pPr>
              <w:ind w:left="-284" w:right="-427"/>
              <w:jc w:val="both"/>
              <w:rPr>
                <w:rFonts/>
                <w:color w:val="262626" w:themeColor="text1" w:themeTint="D9"/>
              </w:rPr>
            </w:pPr>
            <w:r>
              <w:t>	La tarifa media por habitación mensual (ADR) se situó en 77,1 euros por día, 49,8 euros en establecimientos de 1, 2 y 3 estrellas frente a los 88,9 euros en los de 4 y 5 estrellas.</w:t>
            </w:r>
          </w:p>
          <w:p>
            <w:pPr>
              <w:ind w:left="-284" w:right="-427"/>
              <w:jc w:val="both"/>
              <w:rPr>
                <w:rFonts/>
                <w:color w:val="262626" w:themeColor="text1" w:themeTint="D9"/>
              </w:rPr>
            </w:pPr>
            <w:r>
              <w:t>	Los ingresos totales percibidos en hoteles se situaron en 179 millones de euros aproximadamente, lo que supone un incremento de 19,9% respecto a noviembre de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Estadistica de Canarias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https://www.notasdeprensa.es/en-noviembre-el-numero-de-pernoctaciones-en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