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20/06/2024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volumen de primas de seguros Ciber en España se incrementa un 25% hasta los 170 millones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Aon presenta la quinta edición del Estudio sobre Ciberseguridad y Gestión del Riesgo Ciber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Aon plc (NYSE: AON), empresa global líder en servicios profesionales, ha presentado la quinta edición del Estudio sobre Ciberseguridad y Gestión del Riesgo Ciber en España, con la participación de las firmas Garrigues y Fundacion Esys, para abordar las novedades regulatorias con respecto a la ciberseguridad, así como con la colaboración de los principales aseguradores que suscriben el riesgo ciber en España: AIG, Allianz Commercial, AXA XL, Beazley, Chubb, Hiscox, QBE, Tokio Marine HCC y Zúrich, para tratar los aspectos clave de la evolución y la gestión del riesgo en España: inversión en ciberseguridad, tendencias del mercado asegurador y evolución de la siniestralidad,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otras conclusiones, el estudio destaca que España es uno de los países con mayor siniestralidad de la UE. Los sectores más afectados siguen siendo los que más contratan: manufacturing, servicios profesionales y entidades financieras, con una elevada siniestralidad también en el sector de la construcción como mercado menos maduro. En cuanto a la evolución de las primas, el aumento en 2022 fue una realidad generalizada en todos los sectores y actividades, mientras que en 2023 ha seguido aumentando y ya supera los 170 millones de euros, habiendo crecido este año más de un 25%.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se apoya en datos propios de Aon y del resto de firmas colaboradoras para presentar el estado del arte del riesgo cibernético en España, comparándolos en un entorno europeo y global. Dentro del estudio se han identificado industrias, actividades y sectores de operación de referencia en el país, y se ha analizado su evolución a lo largo de 2023. Se ha considerado un total de 1000 organizaciones y más de 11.000 fuentes de datos para su elaboración, convirtiéndose en punto clave de referencia en el ámbito de la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al informe completo para más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AonAon plc (NYSE: AON) existe para mejorar las decisiones, proteger y enriquecer la vida de las personas en todo el mundo. A través de una visión analítica, experiencia globalmente integrada en Riesgos y Capital Humano, y soluciones localmente relevantes, sus profesionales en más de 120 países y soberanías proporcionan a sus clientes la claridad y la confianza para tomar las mejores decisiones sobre riesgos y personas con el fin de proteger y hacer crecer su negocio.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Dirección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91 340 50 00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https://www.notasdeprensa.es/el-volumen-de-primas-de-seguros-ciber-en_2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Ciberseguridad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