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18/07/2013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talento del IESE se expande por todo el planeta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alumnos de la promoción del MBA del IESE 2013 – graduados en mayo –  están obteniendo unos excelentes resultados de colocación, que ya se sitúan en el 80%; una cifra que en septiembre se espera que supere el 90%.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nivel geográfico, destaca que el 80% de las contrataciones se realizan actualmente a nivel internacional. Los nuevos MBA desarrollarán sus funciones en un total de 36 países distintos. Se demuestra así la decidida apuesta global de la formación impartida en el IESE.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las zonas geográficas que más talento reclutan, Asia se alza como el nuevo destino con más progresión con un 19% de las contrataciones. Europa en su conjunto sigue siendo el continente con mayor importancia, albergando al 34% de los alumnos.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cuanto a las empresas, McKinsey and Company es la que más MBA recluta, seguida de American Express y Telefónica, entre otras. Por sectores, consultoría, sanitario, banca, energía y bienes de consumo son los que más oportunidades generan.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su parte, el 100% de los alumnos de primer curso (promoción de 2014) ya han encontrado posiciones en diversas compañías para este verano, en 40 países distintos y en diversos sectores que van desde finanzas a distribución, pasando por tecnologías de la información, turismo, banca, consultoría o fundaciones.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septiembre arrancará una nueva promoción del MBA y, con ella, una nueva temporada en Career Services cargada de nuevas actividades.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https://www.notasdeprensa.es/el-talento-del-iese-se-expande-por-todo-el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/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