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piloto de Moto3, Xabi Zurutuza, acude a Policlínica Gipuzkoa para conocer el alcance de su lesión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sufrir un fuerte accidente el pasado domingo en la carrera del Mundial de Moto3 disputada en Mogello, el piloto legazpiarra ha acudido hoy a la consulta del Dr. Adrián Cuéllar, traumatólogo de Policlínica Gipuzkoa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martes por la mañana, el piloto de Moto3, Xabi Zurutuza, ha acudido a la consulta del Dr. Adrián Cuéllar, traumatólogo de Policlínica Gipuzkoa, para conocer el alcance de las posibles lesiones que pudiera tener como consecuencia del fuerte accidente el pasado domingo 2 de junio en la carrera del Mundial de Moto3 disputada en Mogello.</w:t>
            </w:r>
          </w:p>
          <w:p>
            <w:pPr>
              <w:ind w:left="-284" w:right="-427"/>
              <w:jc w:val="both"/>
              <w:rPr>
                <w:rFonts/>
                <w:color w:val="262626" w:themeColor="text1" w:themeTint="D9"/>
              </w:rPr>
            </w:pPr>
            <w:r>
              <w:t>Para ello, el piloto legazpiarra de Moto3 se va a someter a distintas pruebas diagnósticas a fin de poder evaluar correctamente el alcance de su lesión, y acortar al máximo los plazos de su recuperación.</w:t>
            </w:r>
          </w:p>
          <w:p>
            <w:pPr>
              <w:ind w:left="-284" w:right="-427"/>
              <w:jc w:val="both"/>
              <w:rPr>
                <w:rFonts/>
                <w:color w:val="262626" w:themeColor="text1" w:themeTint="D9"/>
              </w:rPr>
            </w:pPr>
            <w:r>
              <w:t>Sobre QuirónsaludQuirónsalud es el grupo de salud líder en España y, junto con su matriz Fresenius-Helios, también en Europa. Además de su actividad en España, Quirónsalud está también presente en Latinoamérica. Conjuntamente, cuenta con más de 50.000 profesionales en más de 180 centros sanitarios, entre los que se encuentran 57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 Dexeus, Policlínica Gipuzkoa, Hospital Universitari General de Catalunya, Hospital Quirónsalud Sagrado Corazón, etc.</w:t>
            </w:r>
          </w:p>
          <w:p>
            <w:pPr>
              <w:ind w:left="-284" w:right="-427"/>
              <w:jc w:val="both"/>
              <w:rPr>
                <w:rFonts/>
                <w:color w:val="262626" w:themeColor="text1" w:themeTint="D9"/>
              </w:rPr>
            </w:pPr>
            <w:r>
              <w:t>El Grupo trabaja en la promoción de la docencia (diez de sus hospitales son universitarios) y la investigación médico-científica (cuenta con el Instituto de Investigación Sanitaria de la FJD,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654 09 91 69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https://www.notasdeprensa.es/el-piloto-de-moto3-xabi-zurutuza-acude-a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Motociclismo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