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PIB Canario crece en el segundo trimestre un 3,5%, respecto el año pasado, frente al 3,4% de crecimiento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lo que se refiere al entorno europeo, el PIB del conjunto de la Unión Europea (UE-28) crece un 1,9% respecto al año anterior. En Alemania se ha registrado un crecimiento del 1,8%, mientras que la economía del Reino Unido ha crecido un 2,3%. En términos trimestrales, el incremento del PIB es del 0,6%, dos décimas por debajo del conjunto nacional y dos décimas más que la Unión Europea (UE-28)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Producto Interior Bruto (PIB) generado por la economía canaria, medido en términos de volumen encadenado con referencia en el año 2010, ha registrado un crecimiento interanual del 3,5% en el segundo trimestre de 2015, una décima más que la economía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lo que se refiere al entorno europeo, el PIB del conjunto de la Unión Europea (UE-28) crece un 1,9% respecto al año anterior. En Alemania se ha registrado un crecimiento del 1,8%, mientras que la economía del Reino Unido ha crecido un 2,3%.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términos trimestrales, el incremento del PIB es del 0,6%, dos décimas por debajo del conjunto nacional y dos décimas más que la Unión Europea (UE-28). El Reino Unido y Alemania registran un crecimiento del 0,5% y 0,3% respectivamente.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https://www.notasdeprensa.es/el-pib-canario-crece-en-el-segundo-trimestre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