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16/10/2014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número de asuntos ingresados en los tribunales cae un 2,7 % en el segundo trimestre del año respecto a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asuntos ingresados en los órganos judiciales españoles durante el segundo trimestre de 2014 fue de 2.201.543, lo que supone una disminución del 2,7 % respecto al mismo periodo del año anterior, según los datos hechos públicos por la Sección de Estadística del Consejo General del Poder Judicial.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“Situación de los órganos judiciales en el segundo trimestre de 2014” revela también que entre los pasados 1 de abril y 30 de junio los tribunales españoles resolvieron 2.271.102 asuntos y que al final de ese periodo quedaban en trámite otros 2.539.761.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jurisdicciones, el número de asuntos ingresados en la Civil alcanzó los 481.432, un 7,2 % más que en el segundo trimestre de 2013. Los asuntos resueltos fueron 500.190 y los que quedaban en trámite al final del periodo estudiado 998.283.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jurisdicción Penal entraron 1.557.121 asuntos, lo que representa una disminución del 4,7 % respecto al mismo periodo de 2013. En los tres meses analizados se resolvieron 1.597.252 asuntos y quedaban en trámite otros 959.598.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tanto, en la jurisdicción Contencioso-Administrativa se registraron 54.785 asuntos, un 6,8 % más que en el segundo trimestre de 2013. Al término del periodo se habían resuelto 62.692 asuntos y estaban tramitándose 235.767.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la jurisdicción Social –con 108.124 asuntos- experimentó una disminución en los ingresos del 15,7 % respecto al mismo periodo de 2013. La cifra de asuntos resueltos fue de 110.889 y la de los que quedaban en trámite al final del segundo trimestre del año de 346.001.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destaca que el número de asuntos en trámite sigue disminuyendo y lo hace en todas las jurisdicciones, habiendo bajado del millón en la Civil. Ello obedece a que se resuelven más asuntos de los que ingresan y al esfuerzo de los órganos judiciales en la depuración y control de los asuntos en trámite, impulsados por las “inspecciones virtuales” realizadas por el Servicio de Inspección del CGPJ.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Andalucía, Madrid y Cantabria, a la cabeza en litigiosidad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segundo trimestre de 2014, la tasa de litigiosidad en el conjunto de España –número de asuntos por cada mil habitantes- fue de 47,1.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territorios, Andalucía es el que registró una mayor tasa de litigiosidad (55,9), seguida por Madrid (52,2) y Cantabria (50,4), aunque otras cuatro Comunidades Autónomas superaron la media nacional: Murcia (49,5), la Comunidad Valenciana (49,3), Illes Balears (49) y Canarias (48,1).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extremo contrario, La Rioja (28,1), el País Vasco (32,1) y Extremadura (36,1) fueron las Comunidades Autónomas con menor tasa de litigiosidad.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Proyección al conjunto del año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previsión actualizada al conjunto del año 2014, una vez incorporados los datos correspondientes al segundo trimestre, es la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 aquí los INFORMES COMPLETOS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https://www.notasdeprensa.es/el-numero-de-asuntos-ingresados-en-los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