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se suma a la celebración del Día Mundial del Agua con diversas actividades y propuestas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Confederaciones Hidrográficas y las Sociedades Estatales del Agua y otros organismos autónomos del Ministerio, como la Fundación Biodiversidad, celebran en toda España talleres ambientales, jornadas y actividades escolares</w:t>
            </w:r>
          </w:p>
          <w:p>
            <w:pPr>
              <w:ind w:left="-284" w:right="-427"/>
              <w:jc w:val="both"/>
              <w:rPr>
                <w:rFonts/>
                <w:color w:val="262626" w:themeColor="text1" w:themeTint="D9"/>
              </w:rPr>
            </w:pPr>
            <w:r>
              <w:t>	Este año se definirán los nuevos Objetivos de Desarrollo Sostenible, que en lo relativo al agua y el saneamiento España va a defender que tengan un enfoque basado en los derechos humanos y que se asienten sobre la base de la planificación hidrológica por cuencas</w:t>
            </w:r>
          </w:p>
          <w:p>
            <w:pPr>
              <w:ind w:left="-284" w:right="-427"/>
              <w:jc w:val="both"/>
              <w:rPr>
                <w:rFonts/>
                <w:color w:val="262626" w:themeColor="text1" w:themeTint="D9"/>
              </w:rPr>
            </w:pPr>
            <w:r>
              <w:t>	El Ministerio de Agricultura, Alimentación y Medio Ambiente se ha sumado, un año más, a los actos conmemorativos del Día Mundial del Agua, que se celebra el domingo en todo el mundo, y que este año Naciones Unidas ha consagrado al vínculo entre el agua y el desarrollo sostenible.</w:t>
            </w:r>
          </w:p>
          <w:p>
            <w:pPr>
              <w:ind w:left="-284" w:right="-427"/>
              <w:jc w:val="both"/>
              <w:rPr>
                <w:rFonts/>
                <w:color w:val="262626" w:themeColor="text1" w:themeTint="D9"/>
              </w:rPr>
            </w:pPr>
            <w:r>
              <w:t>	 Esta jornada se va a destinar a fomentar la reflexión sobre cómo el agua es fundamental para garantizar el desarrollo social, económico y ambiental de la sociedad, así como sobre la necesidad de  pasar de un enfoque sectorial del agua a un enfoque multidisciplinar, que capte las interconexiones que existen entre  el agua, la alimentación, la energía, la salud, el comercio o el medio ambiente.</w:t>
            </w:r>
          </w:p>
          <w:p>
            <w:pPr>
              <w:ind w:left="-284" w:right="-427"/>
              <w:jc w:val="both"/>
              <w:rPr>
                <w:rFonts/>
                <w:color w:val="262626" w:themeColor="text1" w:themeTint="D9"/>
              </w:rPr>
            </w:pPr>
            <w:r>
              <w:t>	 El agua es un recurso vital para el ser humano y aún queda mucho por hacer, pese a avances como que, en los últimos 25 años, 2.000 millones de personas han podido acceder a una fuente de agua de consumo mejorada y más de cien países han alcanzado la meta de los Objetivos de Desarrollo del Milenio relativa al agua.</w:t>
            </w:r>
          </w:p>
          <w:p>
            <w:pPr>
              <w:ind w:left="-284" w:right="-427"/>
              <w:jc w:val="both"/>
              <w:rPr>
                <w:rFonts/>
                <w:color w:val="262626" w:themeColor="text1" w:themeTint="D9"/>
              </w:rPr>
            </w:pPr>
            <w:r>
              <w:t>	 Por eso, este año va a marcar un antes y un después en la gestión mundial del agua, no en vano en 2015 finalizan los plazos fijados en el marco de los Objetivos de Desarrollo del Milenio (ODM) y habrá que definir los nuevos Objetivos de Desarrollo Sostenible (ODS).</w:t>
            </w:r>
          </w:p>
          <w:p>
            <w:pPr>
              <w:ind w:left="-284" w:right="-427"/>
              <w:jc w:val="both"/>
              <w:rPr>
                <w:rFonts/>
                <w:color w:val="262626" w:themeColor="text1" w:themeTint="D9"/>
              </w:rPr>
            </w:pPr>
            <w:r>
              <w:t>	 Estos objetivos, en cuanto al agua y el saneamiento, se deben definir desde un enfoque basado en derechos humanos y sobre la base de la planificación hidrológica por cuenca, la participación pública, la seguridad jurídica, la gestión integrada de los recursos y las infraestructuras hidráulicas físicas y tecnológicas.</w:t>
            </w:r>
          </w:p>
          <w:p>
            <w:pPr>
              <w:ind w:left="-284" w:right="-427"/>
              <w:jc w:val="both"/>
              <w:rPr>
                <w:rFonts/>
                <w:color w:val="262626" w:themeColor="text1" w:themeTint="D9"/>
              </w:rPr>
            </w:pPr>
            <w:r>
              <w:t>	 COMPROMISO DE ESPAÑA</w:t>
            </w:r>
          </w:p>
          <w:p>
            <w:pPr>
              <w:ind w:left="-284" w:right="-427"/>
              <w:jc w:val="both"/>
              <w:rPr>
                <w:rFonts/>
                <w:color w:val="262626" w:themeColor="text1" w:themeTint="D9"/>
              </w:rPr>
            </w:pPr>
            <w:r>
              <w:t>	España, como actor en la escena internacional, se compromete a promover esta visión y a llevarla al debate internacional  sobre la agenda del desarrollo sostenible.</w:t>
            </w:r>
          </w:p>
          <w:p>
            <w:pPr>
              <w:ind w:left="-284" w:right="-427"/>
              <w:jc w:val="both"/>
              <w:rPr>
                <w:rFonts/>
                <w:color w:val="262626" w:themeColor="text1" w:themeTint="D9"/>
              </w:rPr>
            </w:pPr>
            <w:r>
              <w:t>	 Esa visión sobre el ODS del agua es la que el Ministerio va a defender en el Foro Mundial del Agua de Corea, en la Conferencia de Directores Iberoamericanos del Agua (CODIA), o la que llevará a la Estrategia 5+5 para el Mediterráneo Occidental que promueven España y Argelia y que será adoptada al nivel ministerial el 31 de marzo en Argel.</w:t>
            </w:r>
          </w:p>
          <w:p>
            <w:pPr>
              <w:ind w:left="-284" w:right="-427"/>
              <w:jc w:val="both"/>
              <w:rPr>
                <w:rFonts/>
                <w:color w:val="262626" w:themeColor="text1" w:themeTint="D9"/>
              </w:rPr>
            </w:pPr>
            <w:r>
              <w:t>	 En este sentido, es esencial que la futura agenda de desarrollo post-2015 supere la compartimentación sectorial y promueva un modelo de bienestar compatible con los recursos limitados de que disponemos.</w:t>
            </w:r>
          </w:p>
          <w:p>
            <w:pPr>
              <w:ind w:left="-284" w:right="-427"/>
              <w:jc w:val="both"/>
              <w:rPr>
                <w:rFonts/>
                <w:color w:val="262626" w:themeColor="text1" w:themeTint="D9"/>
              </w:rPr>
            </w:pPr>
            <w:r>
              <w:t>	 Además, resulta importante subrayar que el acceso al agua y al saneamiento constituyen derechos humanos, con todas las implicaciones que ello conlleva en términos de obligatoriedad y exigibilidad jurídica.</w:t>
            </w:r>
          </w:p>
          <w:p>
            <w:pPr>
              <w:ind w:left="-284" w:right="-427"/>
              <w:jc w:val="both"/>
              <w:rPr>
                <w:rFonts/>
                <w:color w:val="262626" w:themeColor="text1" w:themeTint="D9"/>
              </w:rPr>
            </w:pPr>
            <w:r>
              <w:t>	 ACTIVIDADES DEL MINISTERIO</w:t>
            </w:r>
          </w:p>
          <w:p>
            <w:pPr>
              <w:ind w:left="-284" w:right="-427"/>
              <w:jc w:val="both"/>
              <w:rPr>
                <w:rFonts/>
                <w:color w:val="262626" w:themeColor="text1" w:themeTint="D9"/>
              </w:rPr>
            </w:pPr>
            <w:r>
              <w:t>	El Ministerio, además, con objeto de acercar el Día Mundial a los ciudadanos, ha celebrado durante toda esta semana diferentes actos para dar a conocer, de primera mano, la labor que se lleva a cabo desde la Administración en materia de agua.</w:t>
            </w:r>
          </w:p>
          <w:p>
            <w:pPr>
              <w:ind w:left="-284" w:right="-427"/>
              <w:jc w:val="both"/>
              <w:rPr>
                <w:rFonts/>
                <w:color w:val="262626" w:themeColor="text1" w:themeTint="D9"/>
              </w:rPr>
            </w:pPr>
            <w:r>
              <w:t>	 Así, se han organizado desde la Secretaría de Estado de Medio Ambiente y sus organismos autónomos (Confederaciones Hidrográficas, Sociedades Estatales de Agua, Fundación Biodiversidad…)en distintos puntos del país talleres ambientales, actividades escolares, visitas y jornadas de puertas abiertas, concursos, etc.</w:t>
            </w:r>
          </w:p>
          <w:p>
            <w:pPr>
              <w:ind w:left="-284" w:right="-427"/>
              <w:jc w:val="both"/>
              <w:rPr>
                <w:rFonts/>
                <w:color w:val="262626" w:themeColor="text1" w:themeTint="D9"/>
              </w:rPr>
            </w:pPr>
            <w:r>
              <w:t>	 Así, la Confederación Hidrográfica del Miño-Sil ha hecho hincapié en la importancia de que los escolares cuiden los cauces fluviales y ha organizado varios “Talleres del Agua”, en los que más de 200 chicos y chicas han asistido a charlas didácticas y salidas de campo para llevar a cabo labores de muestreo y caracterización en ríos como el Louro.</w:t>
            </w:r>
          </w:p>
          <w:p>
            <w:pPr>
              <w:ind w:left="-284" w:right="-427"/>
              <w:jc w:val="both"/>
              <w:rPr>
                <w:rFonts/>
                <w:color w:val="262626" w:themeColor="text1" w:themeTint="D9"/>
              </w:rPr>
            </w:pPr>
            <w:r>
              <w:t>	 Además  se han llevado a cabo visitas  a la estación del el Sistema Automático de Información Hidrológica (SAIH) ubicada en este cauce desde donde la Confederación Hidrográfica controla su gestión, y también han convocado un concurso de  dibujo y fotografía para que los escolares de la cuenca muestren cómo ven sus ríos y entornos.</w:t>
            </w:r>
          </w:p>
          <w:p>
            <w:pPr>
              <w:ind w:left="-284" w:right="-427"/>
              <w:jc w:val="both"/>
              <w:rPr>
                <w:rFonts/>
                <w:color w:val="262626" w:themeColor="text1" w:themeTint="D9"/>
              </w:rPr>
            </w:pPr>
            <w:r>
              <w:t>	 La Confederación Hidrográfica del Duero conmemora el Día Mundial del Agua acercándose a los niños, por lo que en el marco de su programa de educación ambiental para escolares (“EducaDuero”) ha organizado una jornada formativa con los niños de los colegios burgaleses de Santa María del Campo y Pampliega en las riberas del río Arlanzón, en colaboración con la Asociación Nacional para la Defensa de la Calidad de las Aguas (Adecagua).</w:t>
            </w:r>
          </w:p>
          <w:p>
            <w:pPr>
              <w:ind w:left="-284" w:right="-427"/>
              <w:jc w:val="both"/>
              <w:rPr>
                <w:rFonts/>
                <w:color w:val="262626" w:themeColor="text1" w:themeTint="D9"/>
              </w:rPr>
            </w:pPr>
            <w:r>
              <w:t>	 Así, los chavales han medido en este río parámetros indicativos de la calidad del agua como la temperatura, el oxígeno disuelto, los nitratos o el PH. También han podido conocer indicadores biológicos como los macroinvertebrados acuáticos, examinar el estado de la vegetación de ribera y comprobar las presiones a las que se encuentran sometidos los ríos por las actividades humanas.</w:t>
            </w:r>
          </w:p>
          <w:p>
            <w:pPr>
              <w:ind w:left="-284" w:right="-427"/>
              <w:jc w:val="both"/>
              <w:rPr>
                <w:rFonts/>
                <w:color w:val="262626" w:themeColor="text1" w:themeTint="D9"/>
              </w:rPr>
            </w:pPr>
            <w:r>
              <w:t>	 Con toda esta información han realizado un diagnóstico del estado del Arlanzón a su paso por Pampliega, convirtiéndose en auténticos “detectives de ríos” y poniendo en práctica conceptos aprendidos en sus clases de Ciencias Naturales.</w:t>
            </w:r>
          </w:p>
          <w:p>
            <w:pPr>
              <w:ind w:left="-284" w:right="-427"/>
              <w:jc w:val="both"/>
              <w:rPr>
                <w:rFonts/>
                <w:color w:val="262626" w:themeColor="text1" w:themeTint="D9"/>
              </w:rPr>
            </w:pPr>
            <w:r>
              <w:t>	 La Confederación Hidrográfica del Ebro, por su parte, ha organizado la conmemoración de esta efeméride con la fotografía como protagonista.</w:t>
            </w:r>
          </w:p>
          <w:p>
            <w:pPr>
              <w:ind w:left="-284" w:right="-427"/>
              <w:jc w:val="both"/>
              <w:rPr>
                <w:rFonts/>
                <w:color w:val="262626" w:themeColor="text1" w:themeTint="D9"/>
              </w:rPr>
            </w:pPr>
            <w:r>
              <w:t>	 Así, ha organizadouna exposición fotográfica, hasta el próximo día 27 en la sede de la CHE (entrada libre), con el título “Pura Agua”, obra de la fotógrafa zaragozana Susana Tolosana, queen 40 instantáneas retrata la belleza del agua y su capacidad creadora.</w:t>
            </w:r>
          </w:p>
          <w:p>
            <w:pPr>
              <w:ind w:left="-284" w:right="-427"/>
              <w:jc w:val="both"/>
              <w:rPr>
                <w:rFonts/>
                <w:color w:val="262626" w:themeColor="text1" w:themeTint="D9"/>
              </w:rPr>
            </w:pPr>
            <w:r>
              <w:t>	 Además, la CHE ha convocado un concurso de fotografía digital, denominada “Agua en Esencia”, del que saldrá la próxima portada de la Memoria de Actividad de esta Confederación Hidrográfica.El plazo de recepción de originales se prolongará desde el domingo y hasta el 22 de abril. Todas las bases del concurso se pueden consultar en su portal web (www.chebro.es).</w:t>
            </w:r>
          </w:p>
          <w:p>
            <w:pPr>
              <w:ind w:left="-284" w:right="-427"/>
              <w:jc w:val="both"/>
              <w:rPr>
                <w:rFonts/>
                <w:color w:val="262626" w:themeColor="text1" w:themeTint="D9"/>
              </w:rPr>
            </w:pPr>
            <w:r>
              <w:t>	 La sociedad estatal Aguas de las Cuencas Mediterráneas (Acuamed), mientras, ha organizado dos actividades con motivo del Día Mundial del Agua. Por un lado, en Tarragona, ha celebrado la inauguración y apertura al público de dos nuevos humedales situados en el Delta de Ebro: el de Embut (en Amposta) y el de Illa de Mar (en Deltebre). Mientras, en Lorca (Murcia), ha organizado una visita para escolares a tres humedales artificiales.</w:t>
            </w:r>
          </w:p>
          <w:p>
            <w:pPr>
              <w:ind w:left="-284" w:right="-427"/>
              <w:jc w:val="both"/>
              <w:rPr>
                <w:rFonts/>
                <w:color w:val="262626" w:themeColor="text1" w:themeTint="D9"/>
              </w:rPr>
            </w:pPr>
            <w:r>
              <w:t>	 Los dos nuevos humedales en el Delta del Ebro se ubican en zonas de alto valor ecológico, con presencia de variada flora y abundante fauna, que los visitantes, a partir de ahora, podrán observar a lo largo de los recorridos establecidos, en los que se han situado paneles explicativos. </w:t>
            </w:r>
          </w:p>
          <w:p>
            <w:pPr>
              <w:ind w:left="-284" w:right="-427"/>
              <w:jc w:val="both"/>
              <w:rPr>
                <w:rFonts/>
                <w:color w:val="262626" w:themeColor="text1" w:themeTint="D9"/>
              </w:rPr>
            </w:pPr>
            <w:r>
              <w:t>	 Mientras, en Lorca (Murcia), y junto a la Asociación para la Custodia del Territorio y el Desarrollo Sostenible (ACUDE), Acuamed ha organizado una visita con más de 60 alumnos de Puerto Lumbreras, que han recorrido los tres humedales artificiales cuya restauración ha financiado Acuamed en la finca Las Cumbres de la Galera. De estos humedales (charcas o abrevaderos) depende un elevado número de especies (anfibios, reptiles e insectos), por lo que ayudarán a la conservación de la fauna silvestre local.</w:t>
            </w:r>
          </w:p>
          <w:p>
            <w:pPr>
              <w:ind w:left="-284" w:right="-427"/>
              <w:jc w:val="both"/>
              <w:rPr>
                <w:rFonts/>
                <w:color w:val="262626" w:themeColor="text1" w:themeTint="D9"/>
              </w:rPr>
            </w:pPr>
            <w:r>
              <w:t>	 La mayoría de proyectos ejecutados por Acuamed en las provincias de Murcia y Almería llevan asociados medidas de integración ambiental relacionadas con la protección de la tortuga mora (Testudo graeca), especie en peligro. El Ministerio colabora así con proyectos de conservación de la fauna silvestre relacionados con el medio hídrico, potenciando además la relación con los territorios donde actúa y con su población, demostrando el interés por éstos y sus valores ambientales.</w:t>
            </w:r>
          </w:p>
          <w:p>
            <w:pPr>
              <w:ind w:left="-284" w:right="-427"/>
              <w:jc w:val="both"/>
              <w:rPr>
                <w:rFonts/>
                <w:color w:val="262626" w:themeColor="text1" w:themeTint="D9"/>
              </w:rPr>
            </w:pPr>
            <w:r>
              <w:t>	 Por su parte, la sociedad estatalAguas de las Cuencas de España (Acuaes) ha participado en la celebración del Día Mundial del Agua en Aragón, con un acto, hoy, en el Ayuntamiento de Villanueva de Gállego, en el marco de las obras para garantizar el abastecimiento de calidad a esta localidad que forman parte de las medidas contempladas en el Plan Integral para la descontaminación del río Gállego, al que el Ministerio destinará un total de cerca de 12 millones de euros.</w:t>
            </w:r>
          </w:p>
          <w:p>
            <w:pPr>
              <w:ind w:left="-284" w:right="-427"/>
              <w:jc w:val="both"/>
              <w:rPr>
                <w:rFonts/>
                <w:color w:val="262626" w:themeColor="text1" w:themeTint="D9"/>
              </w:rPr>
            </w:pPr>
            <w:r>
              <w:t>	 Además, la sociedad estatal participa, también hoy, en la visita de escolares a la Estación de Tratamiento de Agua Potable (ETAP) de Badajoz.</w:t>
            </w:r>
          </w:p>
          <w:p>
            <w:pPr>
              <w:ind w:left="-284" w:right="-427"/>
              <w:jc w:val="both"/>
              <w:rPr>
                <w:rFonts/>
                <w:color w:val="262626" w:themeColor="text1" w:themeTint="D9"/>
              </w:rPr>
            </w:pPr>
            <w:r>
              <w:t>	 Mientras, la Mancomunidad de los Canales del Taibilla ha organizado la visita de tres institutos, con 150 escolares en total, a las potabilizadoras de Sierra de la Espada, Letur, a la presa de embalse del Taibilla y a la desaladora de San Pedro. </w:t>
            </w:r>
          </w:p>
          <w:p>
            <w:pPr>
              <w:ind w:left="-284" w:right="-427"/>
              <w:jc w:val="both"/>
              <w:rPr>
                <w:rFonts/>
                <w:color w:val="262626" w:themeColor="text1" w:themeTint="D9"/>
              </w:rPr>
            </w:pPr>
            <w:r>
              <w:t>	 Los alumnos, en el marco de estas visitas con motivo del Día Mundial del Agua, han preparado trabajos relacionados con el agua para concienciarse del uso adecuado de este recurso, de su procedencia y de los sistemas de administración. </w:t>
            </w:r>
          </w:p>
          <w:p>
            <w:pPr>
              <w:ind w:left="-284" w:right="-427"/>
              <w:jc w:val="both"/>
              <w:rPr>
                <w:rFonts/>
                <w:color w:val="262626" w:themeColor="text1" w:themeTint="D9"/>
              </w:rPr>
            </w:pPr>
            <w:r>
              <w:t>	 La Fundación Biodiversidad, por su parte, apoya con 1,2 millones de euros el desarrollo de 75 proyectos dedicados a restauración de hábitats, seguimiento de especies, formación y sensibilización sobre gestión hídrica sostenible y el desarrollo de estudios sobre valoración económica de los recursos hídricos. Hasta 50 de estos proyectos han contado con la importante implicación de voluntarios.</w:t>
            </w:r>
          </w:p>
          <w:p>
            <w:pPr>
              <w:ind w:left="-284" w:right="-427"/>
              <w:jc w:val="both"/>
              <w:rPr>
                <w:rFonts/>
                <w:color w:val="262626" w:themeColor="text1" w:themeTint="D9"/>
              </w:rPr>
            </w:pPr>
            <w:r>
              <w:t>	 La Fundación Biodiversidad, además, ejecuta como proyecto más destacado el LIFE+ Desmania, con un importe total de casi 2,6 millones de euros, para la conservación del “desmán ibérico”, que implica la colaboración de ocho entidades de ámbito nacional y regional, de Extremadura y de Castilla y León, y de las Confederaciones Hidrográficas del Duero, Tajo y Miño-Sil.</w:t>
            </w:r>
          </w:p>
          <w:p>
            <w:pPr>
              <w:ind w:left="-284" w:right="-427"/>
              <w:jc w:val="both"/>
              <w:rPr>
                <w:rFonts/>
                <w:color w:val="262626" w:themeColor="text1" w:themeTint="D9"/>
              </w:rPr>
            </w:pPr>
            <w:r>
              <w:t>	 El desmán ibérico es un pequeño mamífero insectívoro semiacuático que se distribuye por la mitad septentrional de la Península ibérica. Sus poblaciones han vivido un importante retroceso y, en algunas CCAA, se encuentra en peligro de extinción. Las principales amenazas tienen que ver con causas que llevan a la degradación y fragmentación de su hábitat, y son principalmente de origen antrópico, como la contaminación de las aguas,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