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Consultoria Tintoreria el 23/11/2010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"lavado en seco"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fechas muy recientes no existia una tecnología que permitiera lavar todas las prendas delicadas al agua. Tradicionalmente se han lavado las prendas delicadas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Hasta fechas muy recientes no existia una tecnología que permitiera lavar todas las prendas delicadas al agua. Tradicionalmente se han lavado las prendas delicadas (trajes, seda, lana…) con percloroetileno que es un disolvente altamente contaminante y potencialmente cancerigeno.		Desde hace unos años las autoridades públicas, sobretodo la Unión Europea, han impuesto severas restricciones al uso de estos disolventes con el horizonte de que a medio plazo vayan desapareciendo. Todo esto ha obligado a las principales marcas fabricantes de lavadoras a buscar alternativas que han conducido a la aparición del Wet Clean.		En paises como Suecia, Dinamarca o Alemania con alta sensibilidad medioambiental el Percloroetileno ya está totalmente prohibido o con severisimas restricciones. En algunos estados de los EUA también y progresivamente se irá implantando esta prohibición en todos los paises.		Una tecnologia insostenible		El lavado en seco, aparte de no limpiar como el agua y de generar residuos muy contaminantes, es muy ineficiente en terminos energeticos y medioambientales. El desperdicio de agua, electricidad y jabones lo convierte en una tecnologia obsoleta para los estandares actuales. Según un estudio de Electrolux y otro de Greenpeace el ahorro en consumos, inversión inicial y en costes de contaminaión es de aproximadamente el 50% entre el “Wet Clean” y el “Dry Clean” o lavado en seco.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Casas</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https://www.notasdeprensa.es/el-lavado-en-seco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