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P de España de Motociclismo generó un gasto turístico en Andalucía de 53,4 millones de euros, un 3,7% má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an Premio de España de Motociclismo, que se celebró en Jerez de la Frontera (Cádiz) entre los pasados 2 y 4 de mayo, generó un gasto turístico en el conjunto de la comunidad andaluza de 53,4 millones de euros, lo que representa un 3,7% más respecto 2013, y registró una afluencia de 229.416 visitantes, un 4,7% más.El consejero de Turismo y Comercio, Rafael Rodríguez, ofreció en Sevilla los datos de la encuesta reali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an Premio de España de Motociclismo, que se celebró en Jerez de la Frontera (Cádiz) entre los pasados 2 y 4 de mayo, generó un gasto turístico en el conjunto de la comunidad andaluza de 53,4 millones de euros, lo que representa un 3,7% más respecto 2013, y registró una afluencia de 229.416 visitantes, un 4,7% más.El consejero de Turismo y Comercio, Rafael Rodríguez, ofreció en Sevilla los datos de la encuesta realizada por su departamento sobre este evento, que reflejan también que los establecimientos hoteleros de la provincia de Cádiz alojaron en el referido periodo un total 206.000 turistas, lo que representa un incremento interanual del 6,8Igualmente, este informe señala que el 87,4% de los turistas llegados al destino con motivo del Gran Premio fueron españoles, entre los que destacan los procedentes del mercado andaluz, que crecen hasta situarse en el 38% del total, seguidos por los de la Comunidad de Madrid (14%), Extremadura y Cataluña (7%) y Castilla-León (5%).En cuanto a la tipología de alojamiento preferida, sobresalen el hotel (40%) y el camping (23%), que acapararon más del 63% de los asistentes que pernoctaron en Andalucía y crecieron en relación con anteriores ediciones. A continuación, se situaron las casas de amigos o familiares (12,8%) y el apartamento alquilado (11,4%).A la hora de preparar su visita a Andalucía, la gran mayoría de los turistas (90%) optaron por organizar el viaje de forma particular y en un 63,3% de los casos lo hicieron a través de internet tanto para la obtención de información, las realización de contrataciones o la adquisición de entradas. Los medios de transporte más utilizados fueron el coche particular (42,6%) y la moto (39,5%).Un notable alto de valoraciónLos turistas valoraron de forma muy positiva el destino, con una media de 8,2 puntos, superior a la puntuación recibida en 2013. Los conceptos con mejor nota fueron la organización, el entorno y el recinto, con registros que alcanzaron el 8,5, por delante de otros como los servicios recibidos en el circuito y las instalaciones, que también superaron los 8 puntos de calificación.El gasto medio diario se situó en 83,10 euros, una cifra que supone una ligera caída respecto a la registrada durante la celebración del Gran Premio de Motociclismo del año pasado, y la estancia media se mantuvo estable en 3,1 días. Otro dato destacado es la influencia de esta cita para la aumentar la fidelización de los visitantes hacia el destino, ya que casi el 47% de los asistentes estuvieron en la pasada edición del evento y el 64% declara su intención de volver a Andalucía como turis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p-de-espana-de-motociclismo-genero-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