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modifica el baremo de daños y perjuicios causados en accidentes de circulación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es adecuar las normas a la realidad social actual y fomentar la resolución rápida de conflictos</w:t>
            </w:r>
          </w:p>
          <w:p>
            <w:pPr>
              <w:ind w:left="-284" w:right="-427"/>
              <w:jc w:val="both"/>
              <w:rPr>
                <w:rFonts/>
                <w:color w:val="262626" w:themeColor="text1" w:themeTint="D9"/>
              </w:rPr>
            </w:pPr>
            <w:r>
              <w:t>		 Se revisa el baremo médico de secuelas para adaptarlo al estado actual de la ciencia </w:t>
            </w:r>
          </w:p>
          <w:p>
            <w:pPr>
              <w:ind w:left="-284" w:right="-427"/>
              <w:jc w:val="both"/>
              <w:rPr>
                <w:rFonts/>
                <w:color w:val="262626" w:themeColor="text1" w:themeTint="D9"/>
              </w:rPr>
            </w:pPr>
            <w:r>
              <w:t>		Las indemnizaciones de lucro cesante tendrán en cuenta por vez primera las tareas del hogar y la capacidad de trabajo futura de estudiantes y menores</w:t>
            </w:r>
          </w:p>
          <w:p>
            <w:pPr>
              <w:ind w:left="-284" w:right="-427"/>
              <w:jc w:val="both"/>
              <w:rPr>
                <w:rFonts/>
                <w:color w:val="262626" w:themeColor="text1" w:themeTint="D9"/>
              </w:rPr>
            </w:pPr>
            <w:r>
              <w:t>	El Consejo de Ministros, a propuesta del ministro de Justicia, Rafael Catalá, ha aprobado hoy un Proyecto de Ley que reforma el sistema de valoración de daños y perjuicios causados a las personas en accidentes de tráfico. Esta reforma, que actualiza un sistema vigente desde 1995, es fruto de un importante acuerdo entre las dos partes afectadas: las asociaciones de víctimas de accidentes de tráfico y la representación de las entidades aseguradoras.</w:t>
            </w:r>
          </w:p>
          <w:p>
            <w:pPr>
              <w:ind w:left="-284" w:right="-427"/>
              <w:jc w:val="both"/>
              <w:rPr>
                <w:rFonts/>
                <w:color w:val="262626" w:themeColor="text1" w:themeTint="D9"/>
              </w:rPr>
            </w:pPr>
            <w:r>
              <w:t>	Entre los colectivos que han aportado sugerencias durante la elaboración del Proyecto de Ley se encuentran el CERMI, Federación Española de Daño Cerebral, Asociación de Lesionados Medulares y Grandes Discapacitados Físicos, Asociación para el Estudio de la Lesión Medular Espinal, Asociación de Prevención de Accidentes de Tráfico y STOP ACCIDENTES, además de la Fiscalía de Sala Coordinadora de Seguridad Vial y numerosos facultativos sanitarios expertos en patologías provocadas por accidentes de tráfico.</w:t>
            </w:r>
          </w:p>
          <w:p>
            <w:pPr>
              <w:ind w:left="-284" w:right="-427"/>
              <w:jc w:val="both"/>
              <w:rPr>
                <w:rFonts/>
                <w:color w:val="262626" w:themeColor="text1" w:themeTint="D9"/>
              </w:rPr>
            </w:pPr>
            <w:r>
              <w:t>	El nuevo texto actualiza la norma adaptándola a la realidad social actual de manera que se fomenta la rápida resolución de los conflictos y se potencian los acuerdos extrajudiciales.</w:t>
            </w:r>
          </w:p>
          <w:p>
            <w:pPr>
              <w:ind w:left="-284" w:right="-427"/>
              <w:jc w:val="both"/>
              <w:rPr>
                <w:rFonts/>
                <w:color w:val="262626" w:themeColor="text1" w:themeTint="D9"/>
              </w:rPr>
            </w:pPr>
            <w:r>
              <w:t>	En términos generales, la nueva ley permite incrementar la protección a las víctimas de accidentes de circulación mediante la garantía de una indemnización suficiente, lo que sitúa a España a la altura de las reformas que en el ámbito comunitario se han emprendido en relación con el seguro del automóvil. Mejora el tratamiento resarcitorio de los perjudicados por los accidentes de tráfico y establece un sistema indemnizatorio activo, actualizado y adaptado a la realidad.</w:t>
            </w:r>
          </w:p>
          <w:p>
            <w:pPr>
              <w:ind w:left="-284" w:right="-427"/>
              <w:jc w:val="both"/>
              <w:rPr>
                <w:rFonts/>
                <w:color w:val="262626" w:themeColor="text1" w:themeTint="D9"/>
              </w:rPr>
            </w:pPr>
            <w:r>
              <w:t>	El sistema también afecta a la sanidad pública porque las aseguradoras indemnizarán a los servicios públicos de salud de las diferentes Comunidades Autónomas los gastos derivados de nuevos perjuicios cubiertos, como los importes médicos futuros, ciertos gastos de rehabilitación o necesidades de recambio de prótesis de lesionados graves.</w:t>
            </w:r>
          </w:p>
          <w:p>
            <w:pPr>
              <w:ind w:left="-284" w:right="-427"/>
              <w:jc w:val="both"/>
              <w:rPr>
                <w:rFonts/>
                <w:color w:val="262626" w:themeColor="text1" w:themeTint="D9"/>
              </w:rPr>
            </w:pPr>
            <w:r>
              <w:t>	Artículo de  Xavier Coca Verdaguer,  representante del Consejo General de la Abogacía Española en el Grupo de Trabajo para el Estudio de la Reforma del Sistema Legal de Valoración de los Daños y Perjuicios Personales producidos por Accidentes de Tráfico</w:t>
            </w:r>
          </w:p>
          <w:p>
            <w:pPr>
              <w:ind w:left="-284" w:right="-427"/>
              <w:jc w:val="both"/>
              <w:rPr>
                <w:rFonts/>
                <w:color w:val="262626" w:themeColor="text1" w:themeTint="D9"/>
              </w:rPr>
            </w:pPr>
            <w:r>
              <w:t>	Por su interés se adjunta el proyecto de Ley de Reforma y a las Tablas que  ha facilitado la Asociación Española de Abogados Especializados en Responsabilidad Civil y Seguro.</w:t>
            </w:r>
          </w:p>
          <w:p>
            <w:pPr>
              <w:ind w:left="-284" w:right="-427"/>
              <w:jc w:val="both"/>
              <w:rPr>
                <w:rFonts/>
                <w:color w:val="262626" w:themeColor="text1" w:themeTint="D9"/>
              </w:rPr>
            </w:pPr>
            <w:r>
              <w:t>	 Texto del Proyecto de Ley	</w:t>
            </w:r>
          </w:p>
          <w:p>
            <w:pPr>
              <w:ind w:left="-284" w:right="-427"/>
              <w:jc w:val="both"/>
              <w:rPr>
                <w:rFonts/>
                <w:color w:val="262626" w:themeColor="text1" w:themeTint="D9"/>
              </w:rPr>
            </w:pPr>
            <w:r>
              <w:t>	Anexo. Tablas</w:t>
            </w:r>
          </w:p>
          <w:p>
            <w:pPr>
              <w:ind w:left="-284" w:right="-427"/>
              <w:jc w:val="both"/>
              <w:rPr>
                <w:rFonts/>
                <w:color w:val="262626" w:themeColor="text1" w:themeTint="D9"/>
              </w:rPr>
            </w:pPr>
            <w:r>
              <w:t>	Modificación de los daños patrimoniales</w:t>
            </w:r>
          </w:p>
          <w:p>
            <w:pPr>
              <w:ind w:left="-284" w:right="-427"/>
              <w:jc w:val="both"/>
              <w:rPr>
                <w:rFonts/>
                <w:color w:val="262626" w:themeColor="text1" w:themeTint="D9"/>
              </w:rPr>
            </w:pPr>
            <w:r>
              <w:t>	En relación con el tratamiento de los daños patrimoniales, la nueva norma clarifica y regula con detalle las medidas de resarcimiento en concepto de gastos. También se racionaliza el método de cálculo del lucro cesante (pérdida de ganancia legítima por parte de la víctima).</w:t>
            </w:r>
          </w:p>
          <w:p>
            <w:pPr>
              <w:ind w:left="-284" w:right="-427"/>
              <w:jc w:val="both"/>
              <w:rPr>
                <w:rFonts/>
                <w:color w:val="262626" w:themeColor="text1" w:themeTint="D9"/>
              </w:rPr>
            </w:pPr>
            <w:r>
              <w:t>	De esta manera, en los supuestos de fallecimiento, consigue una mejora de la percepción de las indemnizaciones mediante su individualización, teniendo en cuenta las nuevas estructuras familiares. También distingue entre ‘perjuicio patrimonial básico’ o gastos razonables derivados del fallecimiento, -compensados con una cantidad mínima de 400 euros-, y los ‘gastos específicos’, que incluyen el traslado del fallecido, repatriación, entierro y funeral.</w:t>
            </w:r>
          </w:p>
          <w:p>
            <w:pPr>
              <w:ind w:left="-284" w:right="-427"/>
              <w:jc w:val="both"/>
              <w:rPr>
                <w:rFonts/>
                <w:color w:val="262626" w:themeColor="text1" w:themeTint="D9"/>
              </w:rPr>
            </w:pPr>
            <w:r>
              <w:t>	En los supuestos de secuelas, refuerza especialmente la reparación del gran lesionado que queda con discapacidades que requieren de apoyos intensos para su autonomía personal, indemnizando los perjuicios y los daños emergentes relacionados con las diferentes partidas de gastos asistenciales futuros. Revisa, además, el baremo médico de secuelas para adaptarlo al estado actual de la ciencia.</w:t>
            </w:r>
          </w:p>
          <w:p>
            <w:pPr>
              <w:ind w:left="-284" w:right="-427"/>
              <w:jc w:val="both"/>
              <w:rPr>
                <w:rFonts/>
                <w:color w:val="262626" w:themeColor="text1" w:themeTint="D9"/>
              </w:rPr>
            </w:pPr>
            <w:r>
              <w:t>	En relación a las lesiones temporales, la norma distingue entre ‘gastos de asistencia sanitaria’ y otros ‘gastos diversos resarcibles’, es decir, todos aquellos gastos necesarios y razonables que genere la lesión en el desarrollo ordinario de la vida diaria del lesionado, como por ejemplo: el incremento de costes de movilidad del lesionado, los desplazamientos de familiares para atenderle, gastos para atender a los familiares menores o especialmente vulnerables de los que se ocupaba el lesionado, etc…</w:t>
            </w:r>
          </w:p>
          <w:p>
            <w:pPr>
              <w:ind w:left="-284" w:right="-427"/>
              <w:jc w:val="both"/>
              <w:rPr>
                <w:rFonts/>
                <w:color w:val="262626" w:themeColor="text1" w:themeTint="D9"/>
              </w:rPr>
            </w:pPr>
            <w:r>
              <w:t>	En la valoración del lucro cesante (pérdida de ganancia legítima por parte de la víctima), se sustituye el sistema actual por otro modelo procedente del ámbito de los seguros que determinará la indemnización correspondiente. Contempla los ingresos netos de la víctima, pero también valora el trabajo no remunerado, como las tareas del hogar o la pérdida de capacidad de trabajo futura de menores y estudiantes. Además, se introduce un coeficiente específico para cada perjudicado que combina factores diversos, como la duración del perjuicio, el riesgo de fallecimiento del perjudicado y la deducción de las pensiones públicas, entre otros.</w:t>
            </w:r>
          </w:p>
          <w:p>
            <w:pPr>
              <w:ind w:left="-284" w:right="-427"/>
              <w:jc w:val="both"/>
              <w:rPr>
                <w:rFonts/>
                <w:color w:val="262626" w:themeColor="text1" w:themeTint="D9"/>
              </w:rPr>
            </w:pPr>
            <w:r>
              <w:t>	Perjuicios extra-patrimoniales</w:t>
            </w:r>
          </w:p>
          <w:p>
            <w:pPr>
              <w:ind w:left="-284" w:right="-427"/>
              <w:jc w:val="both"/>
              <w:rPr>
                <w:rFonts/>
                <w:color w:val="262626" w:themeColor="text1" w:themeTint="D9"/>
              </w:rPr>
            </w:pPr>
            <w:r>
              <w:t>	El Proyecto de Ley incluye como novedad en este apartado la reestructuración del perjuicio personal básico en las indemnizaciones por causa de muerte y de su relación con los perjuicios particulares, que ahora se amplían. Así, la nueva norma configura los perjudicados en accidentes de tráfico en cinco categorías autónomas (cónyuge, ascendientes, descendientes, hermanos y allegados). Considera que estos sufren siempre un perjuicio resarcible y de la misma cuantía, con independencia de que concurran o no con otras categorías de perjudicados.</w:t>
            </w:r>
          </w:p>
          <w:p>
            <w:pPr>
              <w:ind w:left="-284" w:right="-427"/>
              <w:jc w:val="both"/>
              <w:rPr>
                <w:rFonts/>
                <w:color w:val="262626" w:themeColor="text1" w:themeTint="D9"/>
              </w:rPr>
            </w:pPr>
            <w:r>
              <w:t>	Modificación de indemnizaciones</w:t>
            </w:r>
          </w:p>
          <w:p>
            <w:pPr>
              <w:ind w:left="-284" w:right="-427"/>
              <w:jc w:val="both"/>
              <w:rPr>
                <w:rFonts/>
                <w:color w:val="262626" w:themeColor="text1" w:themeTint="D9"/>
              </w:rPr>
            </w:pPr>
            <w:r>
              <w:t>	Respecto a la media del periodo 2005 a 2011, según los daños causados en cada accidente de circulación, las indemnizaciones correspondientes se modifican de la siguiente manera:</w:t>
            </w:r>
          </w:p>
          <w:p>
            <w:pPr>
              <w:ind w:left="-284" w:right="-427"/>
              <w:jc w:val="both"/>
              <w:rPr>
                <w:rFonts/>
                <w:color w:val="262626" w:themeColor="text1" w:themeTint="D9"/>
              </w:rPr>
            </w:pPr>
            <w:r>
              <w:t>	•             Indemnizaciones por muerte: se incrementan un 50% de media</w:t>
            </w:r>
          </w:p>
          <w:p>
            <w:pPr>
              <w:ind w:left="-284" w:right="-427"/>
              <w:jc w:val="both"/>
              <w:rPr>
                <w:rFonts/>
                <w:color w:val="262626" w:themeColor="text1" w:themeTint="D9"/>
              </w:rPr>
            </w:pPr>
            <w:r>
              <w:t>	•             Indemnizaciones por secuelas: se incrementan un 35% de media</w:t>
            </w:r>
          </w:p>
          <w:p>
            <w:pPr>
              <w:ind w:left="-284" w:right="-427"/>
              <w:jc w:val="both"/>
              <w:rPr>
                <w:rFonts/>
                <w:color w:val="262626" w:themeColor="text1" w:themeTint="D9"/>
              </w:rPr>
            </w:pPr>
            <w:r>
              <w:t>	El criterio de actualización anual del sistema indemnizatorio se establece en relación al índice de revalorización de las pensiones previsto en la Ley de Presupuestos Generales del Estado, por ser el que más se aproxima a sus principios y características.</w:t>
            </w:r>
          </w:p>
          <w:p>
            <w:pPr>
              <w:ind w:left="-284" w:right="-427"/>
              <w:jc w:val="both"/>
              <w:rPr>
                <w:rFonts/>
                <w:color w:val="262626" w:themeColor="text1" w:themeTint="D9"/>
              </w:rPr>
            </w:pPr>
            <w:r>
              <w:t>	Por último, la ley establece la creación de una Comisión de Seguimiento del Sistema de Valoración, de la que formarán parte también las asociaciones de víctimas y las entidades aseguradoras, con el objeto de analizar su puesta en marcha, sus repercusiones jurídicas y económicas y el sistema de actualización, pudiendo hacer sugerencias y promover modificaciones al mismo para la mejora del sistema.</w:t>
            </w:r>
          </w:p>
          <w:p>
            <w:pPr>
              <w:ind w:left="-284" w:right="-427"/>
              <w:jc w:val="both"/>
              <w:rPr>
                <w:rFonts/>
                <w:color w:val="262626" w:themeColor="text1" w:themeTint="D9"/>
              </w:rPr>
            </w:pPr>
            <w:r>
              <w:t>	El Ministerio de Justicia prevé que el Proyecto de Ley esté aprobado por las Cortes en este periodo de sesiones.</w:t>
            </w:r>
          </w:p>
          <w:p>
            <w:pPr>
              <w:ind w:left="-284" w:right="-427"/>
              <w:jc w:val="both"/>
              <w:rPr>
                <w:rFonts/>
                <w:color w:val="262626" w:themeColor="text1" w:themeTint="D9"/>
              </w:rPr>
            </w:pPr>
            <w:r>
              <w:t>	Ejemplos para algunos supuestos representativos:</w:t>
            </w:r>
          </w:p>
          <w:p>
            <w:pPr>
              <w:ind w:left="-284" w:right="-427"/>
              <w:jc w:val="both"/>
              <w:rPr>
                <w:rFonts/>
                <w:color w:val="262626" w:themeColor="text1" w:themeTint="D9"/>
              </w:rPr>
            </w:pPr>
            <w:r>
              <w:t>	ACCIDENTES:</w:t>
            </w:r>
          </w:p>
          <w:p>
            <w:pPr>
              <w:ind w:left="-284" w:right="-427"/>
              <w:jc w:val="both"/>
              <w:rPr>
                <w:rFonts/>
                <w:color w:val="262626" w:themeColor="text1" w:themeTint="D9"/>
              </w:rPr>
            </w:pPr>
            <w:r>
              <w:t>	Doctora, mujer médico otorrinolaringóloga, de renta de más de 60.000 Eur/año.</w:t>
            </w:r>
          </w:p>
          <w:p>
            <w:pPr>
              <w:ind w:left="-284" w:right="-427"/>
              <w:jc w:val="both"/>
              <w:rPr>
                <w:rFonts/>
                <w:color w:val="262626" w:themeColor="text1" w:themeTint="D9"/>
              </w:rPr>
            </w:pPr>
            <w:r>
              <w:t>	Sufre amputación parcial de la pierna.</w:t>
            </w:r>
          </w:p>
          <w:p>
            <w:pPr>
              <w:ind w:left="-284" w:right="-427"/>
              <w:jc w:val="both"/>
              <w:rPr>
                <w:rFonts/>
                <w:color w:val="262626" w:themeColor="text1" w:themeTint="D9"/>
              </w:rPr>
            </w:pPr>
            <w:r>
              <w:t>	BAREMO ACTUAL: 350.000 Euros (máximo)</w:t>
            </w:r>
          </w:p>
          <w:p>
            <w:pPr>
              <w:ind w:left="-284" w:right="-427"/>
              <w:jc w:val="both"/>
              <w:rPr>
                <w:rFonts/>
                <w:color w:val="262626" w:themeColor="text1" w:themeTint="D9"/>
              </w:rPr>
            </w:pPr>
            <w:r>
              <w:t>	FUTURO BAREMO: 750.000 Euros (Máximo. Incluyendo nuevos conceptos: lucro cesante, gastos sanitarios futuros, etc.)</w:t>
            </w:r>
          </w:p>
          <w:p>
            <w:pPr>
              <w:ind w:left="-284" w:right="-427"/>
              <w:jc w:val="both"/>
              <w:rPr>
                <w:rFonts/>
                <w:color w:val="262626" w:themeColor="text1" w:themeTint="D9"/>
              </w:rPr>
            </w:pPr>
            <w:r>
              <w:t>	DIFERENCIA: + 400.000 Euros</w:t>
            </w:r>
          </w:p>
          <w:p>
            <w:pPr>
              <w:ind w:left="-284" w:right="-427"/>
              <w:jc w:val="both"/>
              <w:rPr>
                <w:rFonts/>
                <w:color w:val="262626" w:themeColor="text1" w:themeTint="D9"/>
              </w:rPr>
            </w:pPr>
            <w:r>
              <w:t>	PORCENTAJE DIFERENCIA: +114 %</w:t>
            </w:r>
          </w:p>
          <w:p>
            <w:pPr>
              <w:ind w:left="-284" w:right="-427"/>
              <w:jc w:val="both"/>
              <w:rPr>
                <w:rFonts/>
                <w:color w:val="262626" w:themeColor="text1" w:themeTint="D9"/>
              </w:rPr>
            </w:pPr>
            <w:r>
              <w:t>	Bebe de un año queda tetrapléjico.</w:t>
            </w:r>
          </w:p>
          <w:p>
            <w:pPr>
              <w:ind w:left="-284" w:right="-427"/>
              <w:jc w:val="both"/>
              <w:rPr>
                <w:rFonts/>
                <w:color w:val="262626" w:themeColor="text1" w:themeTint="D9"/>
              </w:rPr>
            </w:pPr>
            <w:r>
              <w:t>	BAREMO ACTUAL: 1.300.000 Euros (máximo)</w:t>
            </w:r>
          </w:p>
          <w:p>
            <w:pPr>
              <w:ind w:left="-284" w:right="-427"/>
              <w:jc w:val="both"/>
              <w:rPr>
                <w:rFonts/>
                <w:color w:val="262626" w:themeColor="text1" w:themeTint="D9"/>
              </w:rPr>
            </w:pPr>
            <w:r>
              <w:t>	FUTURO BAREMO: 3.500.000 Euros (Máximo. Incluyendo nuevos conceptos: PÉRDIDA DE CALIDAD DE VIDA, tercera persona, readaptación de la vivienda, lucro cesante, gastos sanitarios futuros, etc.)</w:t>
            </w:r>
          </w:p>
          <w:p>
            <w:pPr>
              <w:ind w:left="-284" w:right="-427"/>
              <w:jc w:val="both"/>
              <w:rPr>
                <w:rFonts/>
                <w:color w:val="262626" w:themeColor="text1" w:themeTint="D9"/>
              </w:rPr>
            </w:pPr>
            <w:r>
              <w:t>	DIFERENCIA: + 2.200.000 Euros</w:t>
            </w:r>
          </w:p>
          <w:p>
            <w:pPr>
              <w:ind w:left="-284" w:right="-427"/>
              <w:jc w:val="both"/>
              <w:rPr>
                <w:rFonts/>
                <w:color w:val="262626" w:themeColor="text1" w:themeTint="D9"/>
              </w:rPr>
            </w:pPr>
            <w:r>
              <w:t>	PORCENTAJE DIFERENCIA: + 169%</w:t>
            </w:r>
          </w:p>
          <w:p>
            <w:pPr>
              <w:ind w:left="-284" w:right="-427"/>
              <w:jc w:val="both"/>
              <w:rPr>
                <w:rFonts/>
                <w:color w:val="262626" w:themeColor="text1" w:themeTint="D9"/>
              </w:rPr>
            </w:pPr>
            <w:r>
              <w:t>	Atropello a 1 peatón de 21 años de edad, con antecedentes psiquiátricos.</w:t>
            </w:r>
          </w:p>
          <w:p>
            <w:pPr>
              <w:ind w:left="-284" w:right="-427"/>
              <w:jc w:val="both"/>
              <w:rPr>
                <w:rFonts/>
                <w:color w:val="262626" w:themeColor="text1" w:themeTint="D9"/>
              </w:rPr>
            </w:pPr>
            <w:r>
              <w:t>	Sufre diversas fracturas y la amputación parcial de la pierna izquierda.</w:t>
            </w:r>
          </w:p>
          <w:p>
            <w:pPr>
              <w:ind w:left="-284" w:right="-427"/>
              <w:jc w:val="both"/>
              <w:rPr>
                <w:rFonts/>
                <w:color w:val="262626" w:themeColor="text1" w:themeTint="D9"/>
              </w:rPr>
            </w:pPr>
            <w:r>
              <w:t>	BAREMO ACTUAL: 1.361.974,47 Euros</w:t>
            </w:r>
          </w:p>
          <w:p>
            <w:pPr>
              <w:ind w:left="-284" w:right="-427"/>
              <w:jc w:val="both"/>
              <w:rPr>
                <w:rFonts/>
                <w:color w:val="262626" w:themeColor="text1" w:themeTint="D9"/>
              </w:rPr>
            </w:pPr>
            <w:r>
              <w:t>	FUTURO BAREMO: 1.554.845,72 Euros</w:t>
            </w:r>
          </w:p>
          <w:p>
            <w:pPr>
              <w:ind w:left="-284" w:right="-427"/>
              <w:jc w:val="both"/>
              <w:rPr>
                <w:rFonts/>
                <w:color w:val="262626" w:themeColor="text1" w:themeTint="D9"/>
              </w:rPr>
            </w:pPr>
            <w:r>
              <w:t>	DIFERENCIA: + 192.871,25 Euros</w:t>
            </w:r>
          </w:p>
          <w:p>
            <w:pPr>
              <w:ind w:left="-284" w:right="-427"/>
              <w:jc w:val="both"/>
              <w:rPr>
                <w:rFonts/>
                <w:color w:val="262626" w:themeColor="text1" w:themeTint="D9"/>
              </w:rPr>
            </w:pPr>
            <w:r>
              <w:t>	PORCENTAJE DIFERENCIA: + 15%</w:t>
            </w:r>
          </w:p>
          <w:p>
            <w:pPr>
              <w:ind w:left="-284" w:right="-427"/>
              <w:jc w:val="both"/>
              <w:rPr>
                <w:rFonts/>
                <w:color w:val="262626" w:themeColor="text1" w:themeTint="D9"/>
              </w:rPr>
            </w:pPr>
            <w:r>
              <w:t>	FALLECIMIENTOS:</w:t>
            </w:r>
          </w:p>
          <w:p>
            <w:pPr>
              <w:ind w:left="-284" w:right="-427"/>
              <w:jc w:val="both"/>
              <w:rPr>
                <w:rFonts/>
                <w:color w:val="262626" w:themeColor="text1" w:themeTint="D9"/>
              </w:rPr>
            </w:pPr>
            <w:r>
              <w:t>	Fallece oficinista de 32 años, casada hace 5 años con cónyuge de 35 años, con ingresos netos de 16.800 Euros con una hija de 2 años. Solo madre y sin hermanos.</w:t>
            </w:r>
          </w:p>
          <w:p>
            <w:pPr>
              <w:ind w:left="-284" w:right="-427"/>
              <w:jc w:val="both"/>
              <w:rPr>
                <w:rFonts/>
                <w:color w:val="262626" w:themeColor="text1" w:themeTint="D9"/>
              </w:rPr>
            </w:pPr>
            <w:r>
              <w:t>	BAREMO ACTUAL: 192.203 Euros</w:t>
            </w:r>
          </w:p>
          <w:p>
            <w:pPr>
              <w:ind w:left="-284" w:right="-427"/>
              <w:jc w:val="both"/>
              <w:rPr>
                <w:rFonts/>
                <w:color w:val="262626" w:themeColor="text1" w:themeTint="D9"/>
              </w:rPr>
            </w:pPr>
            <w:r>
              <w:t>	FUTURO BAREMO: 342.037 Euros</w:t>
            </w:r>
          </w:p>
          <w:p>
            <w:pPr>
              <w:ind w:left="-284" w:right="-427"/>
              <w:jc w:val="both"/>
              <w:rPr>
                <w:rFonts/>
                <w:color w:val="262626" w:themeColor="text1" w:themeTint="D9"/>
              </w:rPr>
            </w:pPr>
            <w:r>
              <w:t>	DIFERENCIA: + 149.834 Euros</w:t>
            </w:r>
          </w:p>
          <w:p>
            <w:pPr>
              <w:ind w:left="-284" w:right="-427"/>
              <w:jc w:val="both"/>
              <w:rPr>
                <w:rFonts/>
                <w:color w:val="262626" w:themeColor="text1" w:themeTint="D9"/>
              </w:rPr>
            </w:pPr>
            <w:r>
              <w:t>	PORCENTAJE DIFERENCIA: + 78%</w:t>
            </w:r>
          </w:p>
          <w:p>
            <w:pPr>
              <w:ind w:left="-284" w:right="-427"/>
              <w:jc w:val="both"/>
              <w:rPr>
                <w:rFonts/>
                <w:color w:val="262626" w:themeColor="text1" w:themeTint="D9"/>
              </w:rPr>
            </w:pPr>
            <w:r>
              <w:t>	Fallece padre de familia de 40 años, con ingresos netos de 38.000 Euros. Deja viuda de 30, un hijo de 3, otro de 6 y otro de 12. Deja padre y hermano (no dependientes económicamente ni convivientes)</w:t>
            </w:r>
          </w:p>
          <w:p>
            <w:pPr>
              <w:ind w:left="-284" w:right="-427"/>
              <w:jc w:val="both"/>
              <w:rPr>
                <w:rFonts/>
                <w:color w:val="262626" w:themeColor="text1" w:themeTint="D9"/>
              </w:rPr>
            </w:pPr>
            <w:r>
              <w:t>	BAREMO ACTUAL: 335.519,31 Euros</w:t>
            </w:r>
          </w:p>
          <w:p>
            <w:pPr>
              <w:ind w:left="-284" w:right="-427"/>
              <w:jc w:val="both"/>
              <w:rPr>
                <w:rFonts/>
                <w:color w:val="262626" w:themeColor="text1" w:themeTint="D9"/>
              </w:rPr>
            </w:pPr>
            <w:r>
              <w:t>	FUTURO BAREMO: 671.480,94 Euros</w:t>
            </w:r>
          </w:p>
          <w:p>
            <w:pPr>
              <w:ind w:left="-284" w:right="-427"/>
              <w:jc w:val="both"/>
              <w:rPr>
                <w:rFonts/>
                <w:color w:val="262626" w:themeColor="text1" w:themeTint="D9"/>
              </w:rPr>
            </w:pPr>
            <w:r>
              <w:t>	DIFERENCIA: + 335.961,63* Euros</w:t>
            </w:r>
          </w:p>
          <w:p>
            <w:pPr>
              <w:ind w:left="-284" w:right="-427"/>
              <w:jc w:val="both"/>
              <w:rPr>
                <w:rFonts/>
                <w:color w:val="262626" w:themeColor="text1" w:themeTint="D9"/>
              </w:rPr>
            </w:pPr>
            <w:r>
              <w:t>	PORCENTAJE DIFERENCIA: +100,13%.</w:t>
            </w:r>
          </w:p>
          <w:p>
            <w:pPr>
              <w:ind w:left="-284" w:right="-427"/>
              <w:jc w:val="both"/>
              <w:rPr>
                <w:rFonts/>
                <w:color w:val="262626" w:themeColor="text1" w:themeTint="D9"/>
              </w:rPr>
            </w:pPr>
            <w:r>
              <w:t>	* En concreto cada uno de los hijos menores multiplica por 2,8 la indemnización actual.</w:t>
            </w:r>
          </w:p>
          <w:p>
            <w:pPr>
              <w:ind w:left="-284" w:right="-427"/>
              <w:jc w:val="both"/>
              <w:rPr>
                <w:rFonts/>
                <w:color w:val="262626" w:themeColor="text1" w:themeTint="D9"/>
              </w:rPr>
            </w:pPr>
            <w:r>
              <w:t>	OPINION DE LA PATRONAL</w:t>
            </w:r>
          </w:p>
          <w:p>
            <w:pPr>
              <w:ind w:left="-284" w:right="-427"/>
              <w:jc w:val="both"/>
              <w:rPr>
                <w:rFonts/>
                <w:color w:val="262626" w:themeColor="text1" w:themeTint="D9"/>
              </w:rPr>
            </w:pPr>
            <w:r>
              <w:t>	Las principales asociaciones de víctimas de tráfico, la plataforma representativa de la discapacidad y las entidades aseguradoras dan la bienvenida al Proyecto de Ley para la reforma del sistema de valoración de los daños y perjuicios causados a las personas en accidentes de circulación, también conocido como baremo de autos, que ha puesto hoy el Gobierno en marcha en el Consejo de Ministros.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https://www.notasdeprensa.es/el-gobierno-modifica-el-baremo-de-danos-y_2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