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ha aprobado la reforma para el  Plan General de Contabilidad y el Plan Contable de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Pequeñas y Medianas Empresas que usen el modelo abreviado del Plan General Contable verán simplificada su memoria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batería de medidas aprobadas en el Consejo de Ministros celebrado el pasado dos de diciembre, el Gobierno ha aprobado finalmente la reforma del Plan General de Contabilidad (PGC) y del Plan General Contable de Pequeñas y Medianas Empresas.</w:t>
            </w:r>
          </w:p>
          <w:p>
            <w:pPr>
              <w:ind w:left="-284" w:right="-427"/>
              <w:jc w:val="both"/>
              <w:rPr>
                <w:rFonts/>
                <w:color w:val="262626" w:themeColor="text1" w:themeTint="D9"/>
              </w:rPr>
            </w:pPr>
            <w:r>
              <w:t>Esta norma, publicada en el Boletín Oficial del Estado (BOE) el 17 de diciembre a través del Real Decreto 602/2016, servirá para facilitar la contabilidad de las pymes, ya que suprime en unos casos y simplifica en otros algunos aspectos que hasta ahora suponían una ardua tarea para muchas pequeñas empresas.</w:t>
            </w:r>
          </w:p>
          <w:p>
            <w:pPr>
              <w:ind w:left="-284" w:right="-427"/>
              <w:jc w:val="both"/>
              <w:rPr>
                <w:rFonts/>
                <w:color w:val="262626" w:themeColor="text1" w:themeTint="D9"/>
              </w:rPr>
            </w:pPr>
            <w:r>
              <w:t>En concreto, el RD elimina la obligatoriedad de incluir el estado de cambios en el patrimonio neto para las empresas que utilicen el modelo abreviado del Plan General Contable y para aquellas que apliquen el PGC para pymes.</w:t>
            </w:r>
          </w:p>
          <w:p>
            <w:pPr>
              <w:ind w:left="-284" w:right="-427"/>
              <w:jc w:val="both"/>
              <w:rPr>
                <w:rFonts/>
                <w:color w:val="262626" w:themeColor="text1" w:themeTint="D9"/>
              </w:rPr>
            </w:pPr>
            <w:r>
              <w:t>Además, se reduce la información que las pymes deben incluir dentro de la memoria abreviada. Estos cambios afectan a algunos apartados como la actividad de la empresa, la aplicación del resultado, los activos y pasivos financieros, fondos propios, situación fiscal, subvenciones, donaciones y legados, ingresos y gastos y operaciones con partes vinculadas.</w:t>
            </w:r>
          </w:p>
          <w:p>
            <w:pPr>
              <w:ind w:left="-284" w:right="-427"/>
              <w:jc w:val="both"/>
              <w:rPr>
                <w:rFonts/>
                <w:color w:val="262626" w:themeColor="text1" w:themeTint="D9"/>
              </w:rPr>
            </w:pPr>
            <w:r>
              <w:t>¿Qué empresas podrán acogerse al nuevo PGC para pymes?</w:t>
            </w:r>
          </w:p>
          <w:p>
            <w:pPr>
              <w:ind w:left="-284" w:right="-427"/>
              <w:jc w:val="both"/>
              <w:rPr>
                <w:rFonts/>
                <w:color w:val="262626" w:themeColor="text1" w:themeTint="D9"/>
              </w:rPr>
            </w:pPr>
            <w:r>
              <w:t>A esta posibilidad podrán acogerse aquellas empresas que reúnan dos de las siguientes circunstancias:</w:t>
            </w:r>
          </w:p>
          <w:p>
            <w:pPr>
              <w:ind w:left="-284" w:right="-427"/>
              <w:jc w:val="both"/>
              <w:rPr>
                <w:rFonts/>
                <w:color w:val="262626" w:themeColor="text1" w:themeTint="D9"/>
              </w:rPr>
            </w:pPr>
            <w:r>
              <w:t>- Que su activo no supere los cuatro millones de euros</w:t>
            </w:r>
          </w:p>
          <w:p>
            <w:pPr>
              <w:ind w:left="-284" w:right="-427"/>
              <w:jc w:val="both"/>
              <w:rPr>
                <w:rFonts/>
                <w:color w:val="262626" w:themeColor="text1" w:themeTint="D9"/>
              </w:rPr>
            </w:pPr>
            <w:r>
              <w:t>- Que el importe neto de la cifra de negocios no supere los ocho millones de euros</w:t>
            </w:r>
          </w:p>
          <w:p>
            <w:pPr>
              <w:ind w:left="-284" w:right="-427"/>
              <w:jc w:val="both"/>
              <w:rPr>
                <w:rFonts/>
                <w:color w:val="262626" w:themeColor="text1" w:themeTint="D9"/>
              </w:rPr>
            </w:pPr>
            <w:r>
              <w:t>- Que el número de trabajadores empleados durante el ejercicio no supere los 50 trabajadores durante el ejercicio</w:t>
            </w:r>
          </w:p>
          <w:p>
            <w:pPr>
              <w:ind w:left="-284" w:right="-427"/>
              <w:jc w:val="both"/>
              <w:rPr>
                <w:rFonts/>
                <w:color w:val="262626" w:themeColor="text1" w:themeTint="D9"/>
              </w:rPr>
            </w:pPr>
            <w:r>
              <w:t>Evidentemente, se trata de una buena noticia para las pymes, que ha sido valorada de forma positiva por el Consejo General de Economistas. Eso sí, siempre y cuando esta simplificación en la información entregada no vaya en detrimento de la fiabilidad, transparencia e imagen fiel de la compañía que ofrece la información financiera a terceros. En este sentido, este colectivo aconseja incluir toda la información posible de forma voluntaria con el objetivo de lograr unas cuentas comprensibles.</w:t>
            </w:r>
          </w:p>
          <w:p>
            <w:pPr>
              <w:ind w:left="-284" w:right="-427"/>
              <w:jc w:val="both"/>
              <w:rPr>
                <w:rFonts/>
                <w:color w:val="262626" w:themeColor="text1" w:themeTint="D9"/>
              </w:rPr>
            </w:pPr>
            <w:r>
              <w:t>El contenido de este comunicado fue publicado primero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https://www.notasdeprensa.es/el-gobierno-ha-aprobado-la-reforma-para-el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