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aprueba el Real Decreto por el que se regula el transporte de mercancías peligrosas por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ha aprobado hoy, a propuesta del Ministerio de Fomento, el Real Decreto por el que se regulan las operaciones de transporte de mercancías peligrosas por carretera en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texto pretende poner al día todas aquellas cuestiones que han quedado obsoletas y adaptarse a las normas internacionales vigentes en este momento, tras las sucesivas modificaciones sufridas.</w:t>
            </w:r>
          </w:p>
          <w:p>
            <w:pPr>
              <w:ind w:left="-284" w:right="-427"/>
              <w:jc w:val="both"/>
              <w:rPr>
                <w:rFonts/>
                <w:color w:val="262626" w:themeColor="text1" w:themeTint="D9"/>
              </w:rPr>
            </w:pPr>
            <w:r>
              <w:t>	Igualmente pretende desarrollar normas internas para regular el transporte por carretera de mercancías peligrosas en los aspectos que o bien no se contemplan en el ADR (acuerdo europeo de transporte internacional de mercancías peligrosas por carretera) o bien deja libertad a los Estados para su desarrollo o concreción.</w:t>
            </w:r>
          </w:p>
          <w:p>
            <w:pPr>
              <w:ind w:left="-284" w:right="-427"/>
              <w:jc w:val="both"/>
              <w:rPr>
                <w:rFonts/>
                <w:color w:val="262626" w:themeColor="text1" w:themeTint="D9"/>
              </w:rPr>
            </w:pPr>
            <w:r>
              <w:t>	Los aspectos más destacables del contenido del proyecto son:</w:t>
            </w:r>
          </w:p>
          <w:p>
            <w:pPr>
              <w:ind w:left="-284" w:right="-427"/>
              <w:jc w:val="both"/>
              <w:rPr>
                <w:rFonts/>
                <w:color w:val="262626" w:themeColor="text1" w:themeTint="D9"/>
              </w:rPr>
            </w:pPr>
            <w:r>
              <w:t>	Adecuación al Acuerdo europeo sobre transporte internacional de mercancías peligrosas por carretera (ADR)		Se establece con carácter general la aplicabilidad del Acuerdo europeo sobre transporte internacional de mercancías peligrosas por carretera (ADR) a los transportes que se realicen íntegramente dentro del territorio español.</w:t>
            </w:r>
          </w:p>
          <w:p>
            <w:pPr>
              <w:ind w:left="-284" w:right="-427"/>
              <w:jc w:val="both"/>
              <w:rPr>
                <w:rFonts/>
                <w:color w:val="262626" w:themeColor="text1" w:themeTint="D9"/>
              </w:rPr>
            </w:pPr>
            <w:r>
              <w:t>	Normas sobre la operación de transporte</w:t>
            </w:r>
          </w:p>
          <w:p>
            <w:pPr>
              <w:ind w:left="-284" w:right="-427"/>
              <w:jc w:val="both"/>
              <w:rPr>
                <w:rFonts/>
                <w:color w:val="262626" w:themeColor="text1" w:themeTint="D9"/>
              </w:rPr>
            </w:pPr>
            <w:r>
              <w:t>	Se contienen en el proyecto las normas aplicables a la tripulación de los vehículos de transporte, las normas especiales de circulación por las vías públicas y las autoridades competentes y circunstancias en las que se pueden emitir permisos excepcionales o especiales para el transporte y circulación en condiciones distintas a las reguladas.</w:t>
            </w:r>
          </w:p>
          <w:p>
            <w:pPr>
              <w:ind w:left="-284" w:right="-427"/>
              <w:jc w:val="both"/>
              <w:rPr>
                <w:rFonts/>
                <w:color w:val="262626" w:themeColor="text1" w:themeTint="D9"/>
              </w:rPr>
            </w:pPr>
            <w:r>
              <w:t>	Normas técnicas sobre vehículos de transporte, envases y embalajes, grandes recipientes para granel, grandes embalajes y contenedores a granel		Se regulan las condiciones, requisitos, documentación y pruebas a cumplir por los envases, embalajes, grandes recipientes para granel, grandes embalajes, vehículos, cisternas, vehículos batería, contenedores de gas de elementos múltiples, vehículos para el transporte de explosivos, vehículos portadores de cisternas y contendores para granel para materias en forma de polvo o granos, para que se les autorice a contener o transportar mercancías peligrosas. También se regulan las condiciones y requisitos para la importación de cisternas, vehículos batería, vehículos para el transporte de explosivos y unidades móviles para la fabricación de explosivos.</w:t>
            </w:r>
          </w:p>
          <w:p>
            <w:pPr>
              <w:ind w:left="-284" w:right="-427"/>
              <w:jc w:val="both"/>
              <w:rPr>
                <w:rFonts/>
                <w:color w:val="262626" w:themeColor="text1" w:themeTint="D9"/>
              </w:rPr>
            </w:pPr>
            <w:r>
              <w:t>	Las novedades con respecto a la normativa vigente se refieren principalmente a la fabricación y control de envases y embalajes, grandes recipientes para granel y grandes embalajes, clarificando los requisitos y periodos de inspección. Igualmente se clarifica la vigilancia y el control durante todo el proceso de fabricación de las cisternas y las actuaciones de los fabricantes y organismos de control, cuando el fabricante sea extranjero. El resto de las modificaciones se refieren a la adecuación de las referencias a las normas industriales vigentes.</w:t>
            </w:r>
          </w:p>
          <w:p>
            <w:pPr>
              <w:ind w:left="-284" w:right="-427"/>
              <w:jc w:val="both"/>
              <w:rPr>
                <w:rFonts/>
                <w:color w:val="262626" w:themeColor="text1" w:themeTint="D9"/>
              </w:rPr>
            </w:pPr>
            <w:r>
              <w:t>	Igualmente se regulan las estaciones de Inspección Técnica de Vehículos y los organismos autorizados para el control de estos recipientes o vehículos, la documentación y trámites administrativos a cumplir.</w:t>
            </w:r>
          </w:p>
          <w:p>
            <w:pPr>
              <w:ind w:left="-284" w:right="-427"/>
              <w:jc w:val="both"/>
              <w:rPr>
                <w:rFonts/>
                <w:color w:val="262626" w:themeColor="text1" w:themeTint="D9"/>
              </w:rPr>
            </w:pPr>
            <w:r>
              <w:t>	Normas de actuación en caso de avería o accidente</w:t>
            </w:r>
          </w:p>
          <w:p>
            <w:pPr>
              <w:ind w:left="-284" w:right="-427"/>
              <w:jc w:val="both"/>
              <w:rPr>
                <w:rFonts/>
                <w:color w:val="262626" w:themeColor="text1" w:themeTint="D9"/>
              </w:rPr>
            </w:pPr>
            <w:r>
              <w:t>	Se regulan las actuaciones a realizar en caso de avería o accidente de vehículos que transporten mercancías peligrosas, tanto por parte de la tripulación del mismo, como por parte de los órganos de intervención, sus planes de actuación y los informes que se tienen que realizar a los diferentes órganos competentes en materia de control de tráfico y seguridad vial.</w:t>
            </w:r>
          </w:p>
          <w:p>
            <w:pPr>
              <w:ind w:left="-284" w:right="-427"/>
              <w:jc w:val="both"/>
              <w:rPr>
                <w:rFonts/>
                <w:color w:val="262626" w:themeColor="text1" w:themeTint="D9"/>
              </w:rPr>
            </w:pPr>
            <w:r>
              <w:t>	Operaciones de carga y descarga</w:t>
            </w:r>
          </w:p>
          <w:p>
            <w:pPr>
              <w:ind w:left="-284" w:right="-427"/>
              <w:jc w:val="both"/>
              <w:rPr>
                <w:rFonts/>
                <w:color w:val="262626" w:themeColor="text1" w:themeTint="D9"/>
              </w:rPr>
            </w:pPr>
            <w:r>
              <w:t>	El proyecto desarrolla las normas de carga y descarga de forma general, es decir, incluyendo cualquier maniobra independientemente del tipo de vehículo. Contempla la información que se debe proporcionar para desarrollar estas maniobras, su documentación, las operaciones previas a la carga o la descarga, las operaciones en sí mismas, la posibilidad de derivar responsabilidades, las operaciones de carga en común y las limitaciones existentes. Por último regula las operaciones que se deben realizar una vez terminada la carga o descarga.		Como novedades, se clarifican las responsabilidades del cargador y del transportista en cuanto a las obligaciones establecidas en el ADR sobre la señalización de los bultos y la de los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https://www.notasdeprensa.es/el-gobierno-aprueba-el-real-decreto-por-el-que_1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