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en el sector industrial crece un 1,1% respecto al Noviembre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consumo  eléctrico de las grandes y medianas empresas en noviembre ha aumentado un 0,8% con respecto al mismo mes del año anterior, según los datos del Índice Red Eléctrica (IRE). Desglosado por sectores, el consumo industrial ha crecido un 1,1% y el de los servicios ha bajado un 0,8%. En el cálculo de estos datos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IRE, en los últimos doce meses, el consumo eléctrico de estas empresas, corregidos los efectos de la laboralidad y las temperaturas, ha aumentado un 1,8% respecto al mismo periodo del año anterior. Por sectores, el consumo de la industria ha ascendido un 2,6% y el de los servicios ha descendido un 1,2%.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Comparado con noviembre del 2014, de las cinco actividades con mayor consumo eléctrico, la demanda de la metalurgia disminuyó un 4,4%, la industria química aumentó un 0,8%, la fabricación de otros productos minerales no metálicos un 10,4%, la industria de la alimentación un 2,9% y la del papel un 1,8%.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las actividades que más han aportado al crecimiento del consumo de las grandes empresas han sido: la fabricación de otros productos minerales no metálicos, con un aumento del 10,4%, la captación, depuración y distribución de agua (11,3%), la fabricación de productos de caucho y plásticos (6,8%), la fabricación de vehículos de motor, remolques  y  semirremolques (9,7%) y la fabricación de material y equipo eléctrico (15%).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@RedElectricaREE. 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https://www.notasdeprensa.es/el-consumo-electrico-en-el-sector-industrial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