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ha aumentado un 2,6% en septiembre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eléctrico de las grandes y medianas empresas en el mes de septiembre ha aumentado un 2,6% con respecto al mismo mes del año anterior, según los datos del Índice Red Eléctrica (IRE). Desglosado por sectores, el consumo industrial ha crecido un 3,5% y el de los servicios un 0,5%. En el cálculo de estos datos,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IRE, en los últimos doce meses, el consumo eléctrico de estas empresas, corregidos los efectos de la laboralidad y las temperaturas, ha aumentado un 3,2% respecto al mismo periodo del año anterior. Por sectores, el consumo de la industria ha ascendido un 4,8% y el de los servicios ha descendido un 1,5%.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Comparado con septiembre del 2013, de las cinco actividades con mayor consumo eléctrico, la demanda de la metalurgia descendió un 1,7%, la industria química subió un 2,5%, la fabricación de otros productos minerales no metálicos un 6,6%, la industria de la alimentación un 5,1% y la del papel bajó un 3,7%.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las actividades que más han aportado al crecimiento del consumo de las grandes empresas han sido: la fabricación de otros  productos  minerales no metálicos, con un aumento del 6,6%, el transporte terrestre y por tubería (20,9%), la industria de la alimentación (5,1%), la fabricación de productos de caucho y plásticos (6,1%) y la fabricación de vehículos de motor, remolques y semirremolques (6,8%).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@RedElectricaREE.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