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consumo eléctrico de las grandes empresas ha aumentado un 6,5% en marzo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consumo eléctrico de las grandes y medianas empresas en el mes de marzo ha aumentado un 6,5% con respecto al mismo mes del año anterior, según los datos del Índice Red Eléctrica (IRE). Desglosado por sectores, el consumo industrial ha crecido un 8,4% y el de los servicios se ha mantenido igual. En el cálculo de estos datos se han tenido en cuenta los efectos de la composición del calendario y la evolución de las temperaturas.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el IRE, en los últimos doce meses, el consumo eléctrico de estas empresas, corregidos los efectos de la laboralidad y las temperaturas, ha aumentado un 1,6% respecto al mismo periodo del año anterior. Por sectores, el consumo de la industria ha ascendido un 4% y el de los servicios ha descendido un 2,8%.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cinco actividades con mayor consumo eléctrico han aumentado durante este mes su demanda con respecto a marzo del 2013: la metalurgia subió un 2,8%, la industria química un 9,7%, la fabricación de otros productos minerales no metálicos un 14,3%, la industria de la alimentación un 4,7% y la del papel un 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Asimismo, las actividades que más han aportado al crecimiento del consumo de las grandes empresas han sido: la coquerías y refino de petróleo, con un aumento del 64,6%, la fabricación de otros productos minerales no metálicos (14,3%), la industria química (9,7%), la metalurgia (2,8%) y la captación, depuración y distribución de agua (13,5%).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de consumo eléctrico mensual de cada una de las actividades económicas se pueden encontrar con más detalle en la sección del IRE en la web de Red Eléctrica.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@RevistaREE.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REE (Red Eléctrica de España)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https://www.notasdeprensa.es/el-consumo-electrico-de-las-grandes-empresas_2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