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Superior de Investigaciones Científicas descubre las propiedades positivas de la proteína WIP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investigadores han podido detectar que la proteína permite alterar el crecimiento y la dispersión de las primeras células e intentar frenar el avance de los tumores asociados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equipo de investigadores del Consejo Superior de Investigaciones Científicas (CSIC) ha identificado el papel esencial que la proteína WIP juega en la progresión de tumores al alterar el crecimiento y la invasividad de las células iniciadoras de tumores. Este estudio, publicado en la revista Cell Reports, permite proponer nuevas dianas terapéuticas para el tratamiento de tumores altamente invasivos como los gliomas, un tipo de tumor que se produce en el cerebro y en la médula espinal.</w:t>
            </w:r>
          </w:p>
          <w:p>
            <w:pPr>
              <w:ind w:left="-284" w:right="-427"/>
              <w:jc w:val="both"/>
              <w:rPr>
                <w:rFonts/>
                <w:color w:val="262626" w:themeColor="text1" w:themeTint="D9"/>
              </w:rPr>
            </w:pPr>
            <w:r>
              <w:t>"La proteína WIP es un regulador de la actina, que es un elemento del esqueleto celular esencial para la forma, proliferación, adhesión y migración de las células, tanto normales como tumorales", explica Francisco Wandosell, investigador del CSIC en el Centro de Biología Molecular Severo Ochoa (centro mixto del CSIC y la Universidad Autónoma de Madrid), que ha co-dirigido el estudio junto a Inés Antón, investigadora del Centro Nacional de Biotecnología.</w:t>
            </w:r>
          </w:p>
          <w:p>
            <w:pPr>
              <w:ind w:left="-284" w:right="-427"/>
              <w:jc w:val="both"/>
              <w:rPr>
                <w:rFonts/>
                <w:color w:val="262626" w:themeColor="text1" w:themeTint="D9"/>
              </w:rPr>
            </w:pPr>
            <w:r>
              <w:t>El contenido de este comunicado fue publicado primero en la página web de CSIC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https://www.notasdeprensa.es/el-consejo-superior-de-investigaciones_1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