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Consejo de Administración de FCC propone un proyecto de escisión del área de Inmobiliaria y Cemento en una nueva sociedad cotizada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Administración del Grupo FCC ha aprobado en su sesión celebrada hoy, 16 de mayo, el proyecto de escisión parcial financiera de FCC a favor de una nueva sociedad denominada Inmocemento, que integrará las áreas de negocio de Inmobiliaria y Cemento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Administración del Grupo FCC ha aprobado en su sesión celebrada hoy, 16 de mayo, el proyecto de escisión parcial financiera de FCC a favor de una nueva sociedad denominada Inmocemento, que integrará las áreas de negocio de Inmobiliaria y Cemento. Esta operación será sometida para su aprobación a la Junta General de Accionistas de FCC, que se celebrará el próximo día 27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patrimonio escindido de FCC, que será traspasado a Inmocemento, está formado por las acciones que tiene FCC en FCYC y Cementos Portland Valderrivas, un 80% y 99%, respectivamente.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operación, los accionistas de FCC recibirán el mismo número de acciones de Inmocemento que las que tengan en FCC, y pasarán a cotizar en bolsa de forma independiente, lo que aportará a los accionistas una mayor flexibilidad en la gestión de su inversión.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 ello, se persigue diferenciar la estrategia, gestión y valoración del nuevo grupo con respecto a FCC y facilitar la percepción y maximización de valor por separado de ambos grupos por los mercados.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prevé que el proceso de escisión pueda estar culminado antes de finales del ejercicio.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91 359 54 00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https://www.notasdeprensa.es/el-consejo-de-administracion-de-fcc-propone-un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