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CMS para medios de Protecmedia consigue un 100% en rendimiento SEO en Google Lighthouse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ITER WCM, el gestor de contenidos de Protecmedia, obtiene la máxima puntuación en el proceso de consultoría realizado con la herramienta de auditoría Google Lighthouse. Ante la próxima implementación de Google Core Vitals, el 100% en rendimiento SEO demuestra el potencial de ITER WCM como solución para mejorar el posicionamiento web de los medios de comunicación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ITER WCM, el CMS editorial de la empresa Protecmedia, ha conseguido la máxima puntuación en rendimiento SEO en el proceso de consultoría SEO On Page realizado con Google Lighthouse, la herramienta de auditoría web de Google.</w:t>
            </w:r>
          </w:p>
          <w:p>
            <w:pPr>
              <w:ind w:left="-284" w:right="-427"/>
              <w:jc w:val="both"/>
              <w:rPr>
                <w:rFonts/>
                <w:color w:val="262626" w:themeColor="text1" w:themeTint="D9"/>
              </w:rPr>
            </w:pPr>
            <w:r>
              <w:t>El resultado del 100% en rendimiento SEO obtenido en el test refuerza el valor de ITER WCM como solución para mejorar el posicionamiento web de los medios de comunicación online ante la próxima implementación de Google Core Vitals, el nuevo factor de Google para la clasificación de sitios web en los motores de búsqueda.</w:t>
            </w:r>
          </w:p>
          <w:p>
            <w:pPr>
              <w:ind w:left="-284" w:right="-427"/>
              <w:jc w:val="both"/>
              <w:rPr>
                <w:rFonts/>
                <w:color w:val="262626" w:themeColor="text1" w:themeTint="D9"/>
              </w:rPr>
            </w:pPr>
            <w:r>
              <w:t>Luis Alberto Merlos, Digital Product Specialist de Protecmedia, valora la importancia de lograr la máxima nota posible en el análisis SEO para los medios de comunicación que utilizan el software ITER WCM. “Obtener un 100% de rendimiento en este apartado refuerza y ensalza el potencial que ofrece ITER WCM para situar a los medios de comunicación digitales en las primeras posiciones de los motores de búsqueda en los resultados de búsquedas orgánicas”.</w:t>
            </w:r>
          </w:p>
          <w:p>
            <w:pPr>
              <w:ind w:left="-284" w:right="-427"/>
              <w:jc w:val="both"/>
              <w:rPr>
                <w:rFonts/>
                <w:color w:val="262626" w:themeColor="text1" w:themeTint="D9"/>
              </w:rPr>
            </w:pPr>
            <w:r>
              <w:t>La actualización automática del sitemap de cada medio, el etiquetado de metadatos optimizado y la edición de la versión AMP de los artículos para una correcta visibilidad de los contenidos son algunas de las funcionalidades de inteligencia artificial que han permitido al gestor de contenidos editorial ITER WCM lograr la máxima puntuación en el análisis de rendimiento SEO.</w:t>
            </w:r>
          </w:p>
          <w:p>
            <w:pPr>
              <w:ind w:left="-284" w:right="-427"/>
              <w:jc w:val="both"/>
              <w:rPr>
                <w:rFonts/>
                <w:color w:val="262626" w:themeColor="text1" w:themeTint="D9"/>
              </w:rPr>
            </w:pPr>
            <w:r>
              <w:t>El desarrollo de la inteligencia artificial de ITER WCM para el posicionamiento de los contenidos permite la aplicación automática de los metadatos de cada noticia. Gracias a su motor de inteligencia semántica, ITER WCM realiza automáticamente un etiquetado de los metadatos para optimizar el posicionamiento de todos los contenidos, tanto nuevos como históricos, del medio de comunicación.</w:t>
            </w:r>
          </w:p>
          <w:p>
            <w:pPr>
              <w:ind w:left="-284" w:right="-427"/>
              <w:jc w:val="both"/>
              <w:rPr>
                <w:rFonts/>
                <w:color w:val="262626" w:themeColor="text1" w:themeTint="D9"/>
              </w:rPr>
            </w:pPr>
            <w:r>
              <w:t>María Arenas, Chief Marketing Officer de Protecmedia, asegura que “ayudar a nuestros clientes a tener el mejor SEO posible forma parte de nuestro compromiso con ellos. De la misma forma que tenemos servicio de atención 24/7 en el idioma del cliente, tenemos un equipo comprometido con la mejora de sus resultados SEO”.</w:t>
            </w:r>
          </w:p>
          <w:p>
            <w:pPr>
              <w:ind w:left="-284" w:right="-427"/>
              <w:jc w:val="both"/>
              <w:rPr>
                <w:rFonts/>
                <w:color w:val="262626" w:themeColor="text1" w:themeTint="D9"/>
              </w:rPr>
            </w:pPr>
            <w:r>
              <w:t>Sobre ProtecmediaProtecmedia es una empresa internacional, con actividad en 29 países, que desde 1979 se dedica exclusivamente al desarrollo de software y a la prestación de servicios para empresas periodísticas. Más de 500 medios editoriales confían en Protecmedia como socio para su desarrollo tecnológico y transformación digital. Sus soluciones de software para gestión editorial, CMS, DAM junto con sus servicios de actualización continua y soporte especializado multilingüe 24/7 son elegidos por medios de todo el mundo cada día y gestionados desde sus sedes en España, Francia, Portugal, Alemania y Chile.</w:t>
            </w:r>
          </w:p>
          <w:p>
            <w:pPr>
              <w:ind w:left="-284" w:right="-427"/>
              <w:jc w:val="both"/>
              <w:rPr>
                <w:rFonts/>
                <w:color w:val="262626" w:themeColor="text1" w:themeTint="D9"/>
              </w:rPr>
            </w:pPr>
            <w:r>
              <w:t>Cada año, Protecmedia destina una parte importante de sus beneficios a I+D. Su compromiso con el sector y la voluntad de escuchar sus necesidades explican su estabilidad y su capacidad de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Arenas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+34 626 242 781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https://www.notasdeprensa.es/el-cms-para-medios-de-protecmedia-consigue-un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Software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