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beneficio neto de Repsol alcanza los 761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resultado neto ajustado, que mide específicamente la marcha de los negocios de la compañía, alcanzó los 928 millones de euros.</w:t>
            </w:r>
          </w:p>
          <w:p>
            <w:pPr>
              <w:ind w:left="-284" w:right="-427"/>
              <w:jc w:val="both"/>
              <w:rPr>
                <w:rFonts/>
                <w:color w:val="262626" w:themeColor="text1" w:themeTint="D9"/>
              </w:rPr>
            </w:pPr>
            <w:r>
              <w:t>		El beneficio neto ascendió a 761 millones de euros, con una disminución del 6% al compararse con el primer trimestre de 2014, en el que se registraron 299 millones de euros de resultados por operaciones interrumpidas, derivados en su mayor parte de la venta de activos de GNL.</w:t>
            </w:r>
          </w:p>
          <w:p>
            <w:pPr>
              <w:ind w:left="-284" w:right="-427"/>
              <w:jc w:val="both"/>
              <w:rPr>
                <w:rFonts/>
                <w:color w:val="262626" w:themeColor="text1" w:themeTint="D9"/>
              </w:rPr>
            </w:pPr>
            <w:r>
              <w:t>		Los resultados reflejan la fortaleza del modelo integrado de negocio de Repsol (Upstream-Downstream) y su resistencia a escenarios adversos como el conflicto en Libia y la fuerte caída, de más de un 50%, del precio del petróleo.</w:t>
            </w:r>
          </w:p>
          <w:p>
            <w:pPr>
              <w:ind w:left="-284" w:right="-427"/>
              <w:jc w:val="both"/>
              <w:rPr>
                <w:rFonts/>
                <w:color w:val="262626" w:themeColor="text1" w:themeTint="D9"/>
              </w:rPr>
            </w:pPr>
            <w:r>
              <w:t>		El efecto de la caída del precio del petróleo en el área de Upstream (Exploración y Producción) fue parcialmente compensado por un incremento de la producción del 3,7%, hasta los 354.600 barriles equivalentes de petróleo al día.</w:t>
            </w:r>
          </w:p>
          <w:p>
            <w:pPr>
              <w:ind w:left="-284" w:right="-427"/>
              <w:jc w:val="both"/>
              <w:rPr>
                <w:rFonts/>
                <w:color w:val="262626" w:themeColor="text1" w:themeTint="D9"/>
              </w:rPr>
            </w:pPr>
            <w:r>
              <w:t>		En el negocio de Downstream (Refino, GLP, Marketing, Química y Gas and Power), la eficiencia de los activos se tradujo en un crecimiento del resultado neto ajustado hasta alcanzar los 534 millones de euros.</w:t>
            </w:r>
          </w:p>
          <w:p>
            <w:pPr>
              <w:ind w:left="-284" w:right="-427"/>
              <w:jc w:val="both"/>
              <w:rPr>
                <w:rFonts/>
                <w:color w:val="262626" w:themeColor="text1" w:themeTint="D9"/>
              </w:rPr>
            </w:pPr>
            <w:r>
              <w:t>		La deuda financiera neta al cierre del trimestre se situó en 126 millones de euros, con un descenso de 1.809 millones de euros respecto al cierre del ejercicio pasado.</w:t>
            </w:r>
          </w:p>
          <w:p>
            <w:pPr>
              <w:ind w:left="-284" w:right="-427"/>
              <w:jc w:val="both"/>
              <w:rPr>
                <w:rFonts/>
                <w:color w:val="262626" w:themeColor="text1" w:themeTint="D9"/>
              </w:rPr>
            </w:pPr>
            <w:r>
              <w:t>		Repsol completará mañana la adquisición de la compañía canadiense Talisman Energy, operación transformadora que la situará entre las grandes petroleras privadas del mundo, con presencia en los cinco continentes.</w:t>
            </w:r>
          </w:p>
          <w:p>
            <w:pPr>
              <w:ind w:left="-284" w:right="-427"/>
              <w:jc w:val="both"/>
              <w:rPr>
                <w:rFonts/>
                <w:color w:val="262626" w:themeColor="text1" w:themeTint="D9"/>
              </w:rPr>
            </w:pPr>
            <w:r>
              <w:t>	Repsol obtuvo en el primer trimestre de 2015 un beneficio neto de 761 millones de euros, apoyado en la fortaleza de su modelo de negocio integrado (Upstream-Downstream) que le ha permitido minimizar la fuerte caída del precio del petróleo. Este resultado supone un descenso del 6% respecto a los 807 millones de euros registrados en el primer trimestre de 2014, periodo en el que se contabilizaron 299 millones de euros de resultados de operaciones interrumpidas, básicamente plusvalías por el cierre definitivo de la venta de activos de Gas Natural Licuado (GNL).</w:t>
            </w:r>
          </w:p>
          <w:p>
            <w:pPr>
              <w:ind w:left="-284" w:right="-427"/>
              <w:jc w:val="both"/>
              <w:rPr>
                <w:rFonts/>
                <w:color w:val="262626" w:themeColor="text1" w:themeTint="D9"/>
              </w:rPr>
            </w:pPr>
            <w:r>
              <w:t>	El beneficio neto ajustado, que mide específicamente la marcha de los negocios, se situó en 928 millones de euros, lo que supone un aumento del 74% respecto al mismo periodo del año anterior. La buena marcha de los negocios de refino y química y la fortaleza del dólar frente al euro compensaron el efecto que en los negocios de exploración y producción tuvo la brusca caída, del 50%, en el precio del crudo.</w:t>
            </w:r>
          </w:p>
          <w:p>
            <w:pPr>
              <w:ind w:left="-284" w:right="-427"/>
              <w:jc w:val="both"/>
              <w:rPr>
                <w:rFonts/>
                <w:color w:val="262626" w:themeColor="text1" w:themeTint="D9"/>
              </w:rPr>
            </w:pPr>
            <w:r>
              <w:t>		Upstream: Producción al alza en entorno adverso</w:t>
            </w:r>
          </w:p>
          <w:p>
            <w:pPr>
              <w:ind w:left="-284" w:right="-427"/>
              <w:jc w:val="both"/>
              <w:rPr>
                <w:rFonts/>
                <w:color w:val="262626" w:themeColor="text1" w:themeTint="D9"/>
              </w:rPr>
            </w:pPr>
            <w:r>
              <w:t>	En el área de Upstream (Exploración y Producción), la compañía ha obtenido un resultado neto negativo de 190 millones de euros frente a los 255 millones de euros obtenidos en el primer trimestre de 2014, debido fundamentalmente a la interrupción de la producción en Libia y a la significativa caída de los precios del crudo.</w:t>
            </w:r>
          </w:p>
          <w:p>
            <w:pPr>
              <w:ind w:left="-284" w:right="-427"/>
              <w:jc w:val="both"/>
              <w:rPr>
                <w:rFonts/>
                <w:color w:val="262626" w:themeColor="text1" w:themeTint="D9"/>
              </w:rPr>
            </w:pPr>
            <w:r>
              <w:t>	Los niveles a los que Repsol comercializó su crudo y su gas siguieron una tendencia más positiva que los productos de referencia. Así, el precio de realización de crudo de Repsol se redujo en un 48%, frente a un descenso del 50,2% de la cotización del Brent. Por su parte, el precio de realización de gas de Repsol bajó un 33%, frente a una caída del 38,8% del Henry Hub.</w:t>
            </w:r>
          </w:p>
          <w:p>
            <w:pPr>
              <w:ind w:left="-284" w:right="-427"/>
              <w:jc w:val="both"/>
              <w:rPr>
                <w:rFonts/>
                <w:color w:val="262626" w:themeColor="text1" w:themeTint="D9"/>
              </w:rPr>
            </w:pPr>
            <w:r>
              <w:t>	Durante los primeros tres meses del año, Repsol realizó un nuevo hallazgo de hidrocarburos en el pozo K-4, en Rusia, que se suma a los 12 descubrimientos realizados por el Grupo en 2014. En abril, Repsol perforó su tercer sondeo positivo en la zona Sud Est Illizi, en Argelia, confirmando el gran potencial del área explorada.</w:t>
            </w:r>
          </w:p>
          <w:p>
            <w:pPr>
              <w:ind w:left="-284" w:right="-427"/>
              <w:jc w:val="both"/>
              <w:rPr>
                <w:rFonts/>
                <w:color w:val="262626" w:themeColor="text1" w:themeTint="D9"/>
              </w:rPr>
            </w:pPr>
            <w:r>
              <w:t>	La compañía continúa su actual campaña exploratoria, con buenos resultados y expectativas en Alaska, Rusia y Brasil. En Alaska se han cumplido los objetivos de perforación y realizado pruebas de producción positivas, mientras que en Rusia un nuevo descubrimiento en el bloque K-1 añadirá recursos contingentes a la compañía. Por su parte, el pozo perforado en Pao de Açucar, en el bloque Campos-33 de Brasil, consolida el volumen de recursos certificados de la zona.</w:t>
            </w:r>
          </w:p>
          <w:p>
            <w:pPr>
              <w:ind w:left="-284" w:right="-427"/>
              <w:jc w:val="both"/>
              <w:rPr>
                <w:rFonts/>
                <w:color w:val="262626" w:themeColor="text1" w:themeTint="D9"/>
              </w:rPr>
            </w:pPr>
            <w:r>
              <w:t>	El efecto del menor precio del crudo fue parcialmente compensado por el aumento de la producción de hidrocarburos. Repsol incrementó la producción en 8 de los 12 países en los que opera. Destacan los proyectos de Kinteroni (Perú), del campo Sapinhoá (Brasil) y del proyecto Margarita-Huacaya (Bolivia). Como consecuencia, la producción total del Grupo aumentó un 3,7%, hasta los 354.600 barriles equivalentes. Eliminado el efecto Libia, afectado por la conflictividad que vive el país, la producción habría aumentado un 10% respecto al primer trimestre de 2014.</w:t>
            </w:r>
          </w:p>
          <w:p>
            <w:pPr>
              <w:ind w:left="-284" w:right="-427"/>
              <w:jc w:val="both"/>
              <w:rPr>
                <w:rFonts/>
                <w:color w:val="262626" w:themeColor="text1" w:themeTint="D9"/>
              </w:rPr>
            </w:pPr>
            <w:r>
              <w:t>	Las inversiones netas en el área de Upstream se incrementaron un 59%, hasta alcanzar los 753 millones de euros en el periodo.</w:t>
            </w:r>
          </w:p>
          <w:p>
            <w:pPr>
              <w:ind w:left="-284" w:right="-427"/>
              <w:jc w:val="both"/>
              <w:rPr>
                <w:rFonts/>
                <w:color w:val="262626" w:themeColor="text1" w:themeTint="D9"/>
              </w:rPr>
            </w:pPr>
            <w:r>
              <w:t>		Downstream: Eficiencia, tecnología y mayores ventas</w:t>
            </w:r>
          </w:p>
          <w:p>
            <w:pPr>
              <w:ind w:left="-284" w:right="-427"/>
              <w:jc w:val="both"/>
              <w:rPr>
                <w:rFonts/>
                <w:color w:val="262626" w:themeColor="text1" w:themeTint="D9"/>
              </w:rPr>
            </w:pPr>
            <w:r>
              <w:t>	El negocio de Downstream aumentó su resultado un 84,1%, hasta los 534 millones de euros (calculado en base a la valoración de los inventarios a coste de reposición, CCS), fundamentalmente por el favorable comportamiento de los márgenes de Refino y Química, impulsados por las medidas implementadas en sus planes de competitividad.</w:t>
            </w:r>
          </w:p>
          <w:p>
            <w:pPr>
              <w:ind w:left="-284" w:right="-427"/>
              <w:jc w:val="both"/>
              <w:rPr>
                <w:rFonts/>
                <w:color w:val="262626" w:themeColor="text1" w:themeTint="D9"/>
              </w:rPr>
            </w:pPr>
            <w:r>
              <w:t>	Las mayores ventas en los negocios de refino, química y gas licuado del petróleo (GLP), producto de la recuperación de la actividad económica en España, contribuyeron a mejorar el resultado de la unidad de Downstream.</w:t>
            </w:r>
          </w:p>
          <w:p>
            <w:pPr>
              <w:ind w:left="-284" w:right="-427"/>
              <w:jc w:val="both"/>
              <w:rPr>
                <w:rFonts/>
                <w:color w:val="262626" w:themeColor="text1" w:themeTint="D9"/>
              </w:rPr>
            </w:pPr>
            <w:r>
              <w:t>	La eficiencia del sistema de refino de Repsol, tras las históricas inversiones realizadas en sus instalaciones, volvió a quedar patente en el trimestre al lograr los mejores niveles de margen de refino de toda Europa, 8,7 dólares por barril, frente a los 3,9 dólares por barril del mismo periodo del ejercicio anterior.</w:t>
            </w:r>
          </w:p>
          <w:p>
            <w:pPr>
              <w:ind w:left="-284" w:right="-427"/>
              <w:jc w:val="both"/>
              <w:rPr>
                <w:rFonts/>
                <w:color w:val="262626" w:themeColor="text1" w:themeTint="D9"/>
              </w:rPr>
            </w:pPr>
            <w:r>
              <w:t>	La mayor eficiencia en las plantas del negocio químico, resultado de las mejoras operativas implementadas en los últimos meses, se sumaron a un mejor entorno internacional e incrementaron el resultado del área en 97 millones de euros.</w:t>
            </w:r>
          </w:p>
          <w:p>
            <w:pPr>
              <w:ind w:left="-284" w:right="-427"/>
              <w:jc w:val="both"/>
              <w:rPr>
                <w:rFonts/>
                <w:color w:val="262626" w:themeColor="text1" w:themeTint="D9"/>
              </w:rPr>
            </w:pPr>
            <w:r>
              <w:t>		Gas Natural Fenosa</w:t>
            </w:r>
          </w:p>
          <w:p>
            <w:pPr>
              <w:ind w:left="-284" w:right="-427"/>
              <w:jc w:val="both"/>
              <w:rPr>
                <w:rFonts/>
                <w:color w:val="262626" w:themeColor="text1" w:themeTint="D9"/>
              </w:rPr>
            </w:pPr>
            <w:r>
              <w:t>	El resultado neto de Gas Natural Fenosa ascendió en el primer trimestre a 122 millones de euros, en línea con lo obtenido en el mismo periodo del ejercicio anterior. La contribución de CGE-Chile compensa el impacto de la nueva regulación del sector del gas en España, la aportación del negocio de telecomunicaciones, desinvertido en 2014, y los mayores gastos financieros.</w:t>
            </w:r>
          </w:p>
          <w:p>
            <w:pPr>
              <w:ind w:left="-284" w:right="-427"/>
              <w:jc w:val="both"/>
              <w:rPr>
                <w:rFonts/>
                <w:color w:val="262626" w:themeColor="text1" w:themeTint="D9"/>
              </w:rPr>
            </w:pPr>
            <w:r>
              <w:t>		Deuda en mínimos históricos</w:t>
            </w:r>
          </w:p>
          <w:p>
            <w:pPr>
              <w:ind w:left="-284" w:right="-427"/>
              <w:jc w:val="both"/>
              <w:rPr>
                <w:rFonts/>
                <w:color w:val="262626" w:themeColor="text1" w:themeTint="D9"/>
              </w:rPr>
            </w:pPr>
            <w:r>
              <w:t>	Al cierre del primer trimestre, la deuda financiera neta del grupo se situó en 126 millones de euros, lo que supone una reducción de 1.809 millones de euros frente al cierre del ejercicio pasado.</w:t>
            </w:r>
          </w:p>
          <w:p>
            <w:pPr>
              <w:ind w:left="-284" w:right="-427"/>
              <w:jc w:val="both"/>
              <w:rPr>
                <w:rFonts/>
                <w:color w:val="262626" w:themeColor="text1" w:themeTint="D9"/>
              </w:rPr>
            </w:pPr>
            <w:r>
              <w:t>	Durante el mes de marzo, Repsol realizó dos emisiones de bonos híbridos por un importe global de 2.000 millones de euros, en dos tramos de 1.000 millones de euros cada uno.</w:t>
            </w:r>
          </w:p>
          <w:p>
            <w:pPr>
              <w:ind w:left="-284" w:right="-427"/>
              <w:jc w:val="both"/>
              <w:rPr>
                <w:rFonts/>
                <w:color w:val="262626" w:themeColor="text1" w:themeTint="D9"/>
              </w:rPr>
            </w:pPr>
            <w:r>
              <w:t>	Tras la monetización de los activos de Repsol en Argentina, la compañía mantenía una gran cantidad de caja en dólares. En diciembre de 2014, esta cantidad fue incrementada una vez acordada la adquisición de Talisman, para hacer frente al pago de la misma y debido a que las proyecciones macroeconómicas de la compañía daban señales de apreciación del dólar para el siguiente periodo. El significativo y positivo resultado financiero alcanzado en el primer trimestre del año por Repsol ha confirmado las previsiones de la compañía en un contexto de apreciación del dólar.</w:t>
            </w:r>
          </w:p>
          <w:p>
            <w:pPr>
              <w:ind w:left="-284" w:right="-427"/>
              <w:jc w:val="both"/>
              <w:rPr>
                <w:rFonts/>
                <w:color w:val="262626" w:themeColor="text1" w:themeTint="D9"/>
              </w:rPr>
            </w:pPr>
            <w:r>
              <w:t>		Cierre de la adquisición de Talisman Energy</w:t>
            </w:r>
          </w:p>
          <w:p>
            <w:pPr>
              <w:ind w:left="-284" w:right="-427"/>
              <w:jc w:val="both"/>
              <w:rPr>
                <w:rFonts/>
                <w:color w:val="262626" w:themeColor="text1" w:themeTint="D9"/>
              </w:rPr>
            </w:pPr>
            <w:r>
              <w:t>	Repsol prevé cerrar mañana la compra de la petrolera canadiense Talisman Energy tras el cumplimiento de las condiciones necesarias, anunciado el 30 de abril en la Junta General de Accionistas.</w:t>
            </w:r>
          </w:p>
          <w:p>
            <w:pPr>
              <w:ind w:left="-284" w:right="-427"/>
              <w:jc w:val="both"/>
              <w:rPr>
                <w:rFonts/>
                <w:color w:val="262626" w:themeColor="text1" w:themeTint="D9"/>
              </w:rPr>
            </w:pPr>
            <w:r>
              <w:t>	La operación de adquisición de Talisman Energy transformará a Repsol en un grupo más grande, más equilibrado desde el punto de vista de composición y localización geográfica de sus activos y con un mejor desarrollo futuro. Tras la adquisición, el Grupo Repsol aumentará notablemente su presencia en países de la OCDE, y se situará entre las mayores petroleras privadas del mundo. La producción prácticamente duplicará los niveles actuales, con activos en los cinco continentes.</w:t>
            </w:r>
          </w:p>
          <w:p>
            <w:pPr>
              <w:ind w:left="-284" w:right="-427"/>
              <w:jc w:val="both"/>
              <w:rPr>
                <w:rFonts/>
                <w:color w:val="262626" w:themeColor="text1" w:themeTint="D9"/>
              </w:rPr>
            </w:pPr>
            <w:r>
              <w:t>	Más información sobre la operación de Talisman Energy</w:t>
            </w:r>
          </w:p>
          <w:p>
            <w:pPr>
              <w:ind w:left="-284" w:right="-427"/>
              <w:jc w:val="both"/>
              <w:rPr>
                <w:rFonts/>
                <w:color w:val="262626" w:themeColor="text1" w:themeTint="D9"/>
              </w:rPr>
            </w:pPr>
            <w:r>
              <w:t>	Tablas de resultados. PDF (32KB).</w:t>
            </w:r>
          </w:p>
          <w:p>
            <w:pPr>
              <w:ind w:left="-284" w:right="-427"/>
              <w:jc w:val="both"/>
              <w:rPr>
                <w:rFonts/>
                <w:color w:val="262626" w:themeColor="text1" w:themeTint="D9"/>
              </w:rPr>
            </w:pPr>
            <w:r>
              <w:t>	Este documento no constituye una oferta o invitación para adquirir o suscribir acciones de Repsol, de acuerdo con lo establecido en la Ley 24/1988, de 28 de julio, del Mercado de Valores y en su normativa de desarrollo. Asimismo, este documento no constituye una oferta de compra, de venta o de canje ni una solicitud de una oferta de compra, de venta o de canje de títulos valores en ninguna otra jurisdicción.</w:t>
            </w:r>
          </w:p>
          <w:p>
            <w:pPr>
              <w:ind w:left="-284" w:right="-427"/>
              <w:jc w:val="both"/>
              <w:rPr>
                <w:rFonts/>
                <w:color w:val="262626" w:themeColor="text1" w:themeTint="D9"/>
              </w:rPr>
            </w:pPr>
            <w:r>
              <w:t>	Este documento contiene información y afirmaciones o declaraciones que constituyen estimaciones o proyecciones de futuro sobre Repsol. Dichas estimaciones o proyecciones pueden incluir declaraciones sobre planes, objetivos y expectativas actuales, incluyendo declaraciones en relación con tendencias que afecten a la situación financiera de Repsol, ratios financieros, resultados operativos, negocios, estrategia, concentración geográfica, volúmenes de producción y reservas, gastos de capital, ahorros de costes, inversiones y políticas de dividendos. Dichas estimaciones o proyecciones pueden incluir también asunciones sobre futuras condiciones de tipo económico o de cualquier otro tipo, tales como los futuros precios del crudo u otros precios, márgenes de refino o marketing y tipos de cambio. Las estimaciones o proyecciones de futuro se identifican generalmente por el uso de términos como ?espera?, ?anticipa?, ?pronostica?, ?cree?, ?estima?, ?aprecia? y expresiones similares. Dichas declaraciones no constituyen garantías de un futuro cumplimiento, precios, márgenes, tipos de cambio o de cualquier otro suceso, y se encuentran sujetas a riesgos significativos, incertidumbres, cambios y otros factores que pueden estar fuera del control de Repsol o que pueden ser difíciles de prever. Entre tales riesgos e incertidumbres están aquellos factores y circunstancias identificadas en las comunicaciones y los documentos registrados por Repsol y sus filiales en la Comisión Nacional del Mercado de Valores en España, en la Comisión Nacional de Valores en Argentina, en la Securities and Exchange Commission de los Estados Unidos de América y en el resto de autoridades supervisoras de los mercados en los que se negocian los valores emitidos por Repsol y/o sus filiales.</w:t>
            </w:r>
          </w:p>
          <w:p>
            <w:pPr>
              <w:ind w:left="-284" w:right="-427"/>
              <w:jc w:val="both"/>
              <w:rPr>
                <w:rFonts/>
                <w:color w:val="262626" w:themeColor="text1" w:themeTint="D9"/>
              </w:rPr>
            </w:pPr>
            <w:r>
              <w:t>	Salvo en la medida que lo requiera la ley aplicable, Repsol no asume ninguna obligación -aun cuando se publiquen nuevos datos o se produzcan nuevos hechos- de informar públicamente de la actualización o revisión de estas manifestaciones de futuro.</w:t>
            </w:r>
          </w:p>
          <w:p>
            <w:pPr>
              <w:ind w:left="-284" w:right="-427"/>
              <w:jc w:val="both"/>
              <w:rPr>
                <w:rFonts/>
                <w:color w:val="262626" w:themeColor="text1" w:themeTint="D9"/>
              </w:rPr>
            </w:pPr>
            <w:r>
              <w:t>	La información incluida en este documento no ha sido verificada ni revisada por los auditores externos de Repsol.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https://www.notasdeprensa.es/el-beneficio-neto-de-repsol-alcanza-los-761_1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